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DF" w:rsidRPr="001054CF" w:rsidRDefault="00016D75" w:rsidP="001054CF">
      <w:pPr>
        <w:pStyle w:val="Titolo1"/>
        <w:jc w:val="both"/>
        <w:rPr>
          <w:rFonts w:ascii="Times New Roman" w:hAnsi="Times New Roman" w:cs="Times New Roman"/>
          <w:i/>
          <w:color w:val="auto"/>
          <w:sz w:val="28"/>
          <w:szCs w:val="28"/>
        </w:rPr>
      </w:pPr>
      <w:r w:rsidRPr="001054CF">
        <w:rPr>
          <w:i/>
          <w:color w:val="auto"/>
          <w:sz w:val="28"/>
          <w:szCs w:val="28"/>
        </w:rPr>
        <w:t>ECG</w:t>
      </w:r>
      <w:r w:rsidR="001054CF" w:rsidRPr="001054CF">
        <w:rPr>
          <w:i/>
          <w:color w:val="auto"/>
          <w:sz w:val="28"/>
          <w:szCs w:val="28"/>
        </w:rPr>
        <w:t xml:space="preserve"> </w:t>
      </w:r>
      <w:r w:rsidRPr="001054CF">
        <w:rPr>
          <w:i/>
          <w:color w:val="auto"/>
          <w:sz w:val="28"/>
          <w:szCs w:val="28"/>
        </w:rPr>
        <w:t xml:space="preserve">nella scuola primaria in Europa. Uno studio comparato sulle politiche educative in </w:t>
      </w:r>
      <w:r w:rsidR="00890CF5" w:rsidRPr="001054CF">
        <w:rPr>
          <w:i/>
          <w:color w:val="auto"/>
          <w:sz w:val="28"/>
          <w:szCs w:val="28"/>
        </w:rPr>
        <w:t>10 stati dell’Unione europea. Primi r</w:t>
      </w:r>
      <w:r w:rsidRPr="001054CF">
        <w:rPr>
          <w:i/>
          <w:color w:val="auto"/>
          <w:sz w:val="28"/>
          <w:szCs w:val="28"/>
        </w:rPr>
        <w:t xml:space="preserve">isultati della ricerca “Global </w:t>
      </w:r>
      <w:proofErr w:type="spellStart"/>
      <w:r w:rsidRPr="001054CF">
        <w:rPr>
          <w:i/>
          <w:color w:val="auto"/>
          <w:sz w:val="28"/>
          <w:szCs w:val="28"/>
        </w:rPr>
        <w:t>Schools</w:t>
      </w:r>
      <w:proofErr w:type="spellEnd"/>
      <w:r w:rsidRPr="001054CF">
        <w:rPr>
          <w:i/>
          <w:color w:val="auto"/>
          <w:sz w:val="28"/>
          <w:szCs w:val="28"/>
        </w:rPr>
        <w:t>”</w:t>
      </w:r>
      <w:r w:rsidR="00890CF5" w:rsidRPr="001054CF">
        <w:rPr>
          <w:i/>
          <w:color w:val="auto"/>
          <w:sz w:val="28"/>
          <w:szCs w:val="28"/>
        </w:rPr>
        <w:t>.</w:t>
      </w:r>
    </w:p>
    <w:p w:rsidR="006C6F3A" w:rsidRPr="001054CF" w:rsidRDefault="006C6F3A" w:rsidP="001054CF">
      <w:pPr>
        <w:jc w:val="both"/>
        <w:rPr>
          <w:rFonts w:ascii="Times New Roman" w:hAnsi="Times New Roman" w:cs="Times New Roman"/>
          <w:i/>
          <w:sz w:val="28"/>
          <w:szCs w:val="28"/>
        </w:rPr>
      </w:pPr>
    </w:p>
    <w:p w:rsidR="006C6F3A" w:rsidRPr="001054CF" w:rsidRDefault="006C6F3A" w:rsidP="006C6F3A">
      <w:pPr>
        <w:rPr>
          <w:rFonts w:asciiTheme="majorHAnsi" w:hAnsiTheme="majorHAnsi" w:cs="``ˇøWºﬁ"/>
          <w:b/>
        </w:rPr>
      </w:pPr>
      <w:r w:rsidRPr="001054CF">
        <w:rPr>
          <w:rFonts w:asciiTheme="majorHAnsi" w:hAnsiTheme="majorHAnsi" w:cs="``ˇøWºﬁ"/>
          <w:b/>
        </w:rPr>
        <w:t>Massimiliano T</w:t>
      </w:r>
      <w:r w:rsidR="00016D75" w:rsidRPr="001054CF">
        <w:rPr>
          <w:rFonts w:asciiTheme="majorHAnsi" w:hAnsiTheme="majorHAnsi" w:cs="``ˇøWºﬁ"/>
          <w:b/>
        </w:rPr>
        <w:t>arozzi (Universit</w:t>
      </w:r>
      <w:r w:rsidR="001054CF">
        <w:rPr>
          <w:rFonts w:asciiTheme="majorHAnsi" w:hAnsiTheme="majorHAnsi" w:cs="``ˇøWºﬁ"/>
          <w:b/>
        </w:rPr>
        <w:t>à di</w:t>
      </w:r>
      <w:r w:rsidR="00016D75" w:rsidRPr="001054CF">
        <w:rPr>
          <w:rFonts w:asciiTheme="majorHAnsi" w:hAnsiTheme="majorHAnsi" w:cs="``ˇøWºﬁ"/>
          <w:b/>
        </w:rPr>
        <w:t xml:space="preserve"> Bologna)</w:t>
      </w:r>
    </w:p>
    <w:p w:rsidR="00156AD7" w:rsidRPr="001054CF" w:rsidRDefault="00156AD7" w:rsidP="006C6F3A">
      <w:pPr>
        <w:rPr>
          <w:rFonts w:asciiTheme="majorHAnsi" w:hAnsiTheme="majorHAnsi" w:cs="``ˇøWºﬁ"/>
          <w:i/>
        </w:rPr>
      </w:pPr>
    </w:p>
    <w:p w:rsidR="006C6F3A" w:rsidRPr="001054CF" w:rsidRDefault="006C6F3A" w:rsidP="001054CF">
      <w:pPr>
        <w:spacing w:line="360" w:lineRule="auto"/>
        <w:jc w:val="both"/>
        <w:rPr>
          <w:sz w:val="20"/>
          <w:szCs w:val="20"/>
          <w:lang w:val="en-US"/>
        </w:rPr>
      </w:pPr>
      <w:r w:rsidRPr="001054CF">
        <w:rPr>
          <w:sz w:val="20"/>
          <w:szCs w:val="20"/>
          <w:lang w:val="en-US"/>
        </w:rPr>
        <w:t xml:space="preserve">According to the </w:t>
      </w:r>
      <w:r w:rsidR="008F4BD7" w:rsidRPr="001054CF">
        <w:rPr>
          <w:sz w:val="20"/>
          <w:szCs w:val="20"/>
          <w:lang w:val="en-US"/>
        </w:rPr>
        <w:t>2012 UN’s Global Education First Initiative</w:t>
      </w:r>
      <w:r w:rsidRPr="001054CF">
        <w:rPr>
          <w:sz w:val="20"/>
          <w:szCs w:val="20"/>
          <w:lang w:val="en-US"/>
        </w:rPr>
        <w:t xml:space="preserve"> operative recommendations, to implement educational policies and practice based on GCE and to promote respect and responsibility across cultures, countries and regions requires a number of structural changes. In this </w:t>
      </w:r>
      <w:r w:rsidR="00210C12" w:rsidRPr="001054CF">
        <w:rPr>
          <w:sz w:val="20"/>
          <w:szCs w:val="20"/>
          <w:lang w:val="en-US"/>
        </w:rPr>
        <w:t>communication</w:t>
      </w:r>
      <w:r w:rsidR="001054CF">
        <w:rPr>
          <w:sz w:val="20"/>
          <w:szCs w:val="20"/>
          <w:lang w:val="en-US"/>
        </w:rPr>
        <w:t xml:space="preserve">al </w:t>
      </w:r>
      <w:r w:rsidRPr="001054CF">
        <w:rPr>
          <w:sz w:val="20"/>
          <w:szCs w:val="20"/>
          <w:lang w:val="en-US"/>
        </w:rPr>
        <w:t xml:space="preserve">present </w:t>
      </w:r>
      <w:r w:rsidR="00016D75" w:rsidRPr="001054CF">
        <w:rPr>
          <w:sz w:val="20"/>
          <w:szCs w:val="20"/>
          <w:lang w:val="en-US"/>
        </w:rPr>
        <w:t>some preliminary</w:t>
      </w:r>
      <w:r w:rsidRPr="001054CF">
        <w:rPr>
          <w:sz w:val="20"/>
          <w:szCs w:val="20"/>
          <w:lang w:val="en-US"/>
        </w:rPr>
        <w:t xml:space="preserve"> results of </w:t>
      </w:r>
      <w:r w:rsidR="0019561E" w:rsidRPr="001054CF">
        <w:rPr>
          <w:sz w:val="20"/>
          <w:szCs w:val="20"/>
          <w:lang w:val="en-US"/>
        </w:rPr>
        <w:t xml:space="preserve">the first step of </w:t>
      </w:r>
      <w:r w:rsidRPr="001054CF">
        <w:rPr>
          <w:sz w:val="20"/>
          <w:szCs w:val="20"/>
          <w:lang w:val="en-US"/>
        </w:rPr>
        <w:t>an ongoing three years project</w:t>
      </w:r>
      <w:r w:rsidR="00210C12" w:rsidRPr="001054CF">
        <w:rPr>
          <w:rStyle w:val="Rimandonotaapidipagina"/>
          <w:sz w:val="20"/>
          <w:szCs w:val="20"/>
          <w:lang w:val="en-US"/>
        </w:rPr>
        <w:footnoteReference w:id="2"/>
      </w:r>
      <w:r w:rsidRPr="001054CF">
        <w:rPr>
          <w:sz w:val="20"/>
          <w:szCs w:val="20"/>
          <w:lang w:val="en-US"/>
        </w:rPr>
        <w:t xml:space="preserve"> aiming at comparing </w:t>
      </w:r>
      <w:r w:rsidRPr="001054CF">
        <w:rPr>
          <w:sz w:val="20"/>
          <w:szCs w:val="20"/>
          <w:lang w:val="en-IE"/>
        </w:rPr>
        <w:t xml:space="preserve">existing educational policies, strategies, school curricula in 10 EU countries </w:t>
      </w:r>
      <w:r w:rsidRPr="001054CF">
        <w:rPr>
          <w:sz w:val="20"/>
          <w:szCs w:val="20"/>
          <w:lang w:val="en-GB"/>
        </w:rPr>
        <w:t xml:space="preserve">(Austria, Bulgaria, Czech Republic, France, Ireland, Italy, Latvia, Spain, Portugal, UK) </w:t>
      </w:r>
      <w:r w:rsidRPr="001054CF">
        <w:rPr>
          <w:sz w:val="20"/>
          <w:szCs w:val="20"/>
          <w:lang w:val="en-IE"/>
        </w:rPr>
        <w:t xml:space="preserve">to ascertain </w:t>
      </w:r>
      <w:r w:rsidR="00013B3D" w:rsidRPr="001054CF">
        <w:rPr>
          <w:sz w:val="20"/>
          <w:szCs w:val="20"/>
          <w:lang w:val="en-IE"/>
        </w:rPr>
        <w:t>the current l</w:t>
      </w:r>
      <w:r w:rsidR="00016D75" w:rsidRPr="001054CF">
        <w:rPr>
          <w:sz w:val="20"/>
          <w:szCs w:val="20"/>
          <w:lang w:val="en-IE"/>
        </w:rPr>
        <w:t xml:space="preserve">evel of such </w:t>
      </w:r>
      <w:r w:rsidR="001054CF" w:rsidRPr="001054CF">
        <w:rPr>
          <w:sz w:val="20"/>
          <w:szCs w:val="20"/>
          <w:lang w:val="en-IE"/>
        </w:rPr>
        <w:t>structural</w:t>
      </w:r>
      <w:r w:rsidR="00016D75" w:rsidRPr="001054CF">
        <w:rPr>
          <w:sz w:val="20"/>
          <w:szCs w:val="20"/>
          <w:lang w:val="en-IE"/>
        </w:rPr>
        <w:t xml:space="preserve"> </w:t>
      </w:r>
      <w:r w:rsidR="001054CF" w:rsidRPr="001054CF">
        <w:rPr>
          <w:sz w:val="20"/>
          <w:szCs w:val="20"/>
          <w:lang w:val="en-IE"/>
        </w:rPr>
        <w:t>changes. In</w:t>
      </w:r>
      <w:r w:rsidR="00013B3D" w:rsidRPr="001054CF">
        <w:rPr>
          <w:sz w:val="20"/>
          <w:szCs w:val="20"/>
          <w:lang w:val="en-IE"/>
        </w:rPr>
        <w:t xml:space="preserve"> particular we </w:t>
      </w:r>
      <w:r w:rsidR="0019561E" w:rsidRPr="001054CF">
        <w:rPr>
          <w:sz w:val="20"/>
          <w:szCs w:val="20"/>
          <w:lang w:val="en-IE"/>
        </w:rPr>
        <w:t>investigated</w:t>
      </w:r>
      <w:r w:rsidR="00013B3D" w:rsidRPr="001054CF">
        <w:rPr>
          <w:sz w:val="20"/>
          <w:szCs w:val="20"/>
          <w:lang w:val="en-IE"/>
        </w:rPr>
        <w:t xml:space="preserve"> through a comparative policy </w:t>
      </w:r>
      <w:proofErr w:type="spellStart"/>
      <w:r w:rsidR="00013B3D" w:rsidRPr="001054CF">
        <w:rPr>
          <w:sz w:val="20"/>
          <w:szCs w:val="20"/>
          <w:lang w:val="en-IE"/>
        </w:rPr>
        <w:t>analysisis</w:t>
      </w:r>
      <w:proofErr w:type="spellEnd"/>
      <w:r w:rsidR="00013B3D" w:rsidRPr="001054CF">
        <w:rPr>
          <w:sz w:val="20"/>
          <w:szCs w:val="20"/>
          <w:lang w:val="en-IE"/>
        </w:rPr>
        <w:t xml:space="preserve">, </w:t>
      </w:r>
      <w:r w:rsidRPr="001054CF">
        <w:rPr>
          <w:sz w:val="20"/>
          <w:szCs w:val="20"/>
          <w:lang w:val="en-IE"/>
        </w:rPr>
        <w:t>whether, to what extent and how GCE is integrated in the primary school curricula</w:t>
      </w:r>
      <w:r w:rsidRPr="001054CF">
        <w:rPr>
          <w:sz w:val="20"/>
          <w:szCs w:val="20"/>
          <w:lang w:val="en-GB"/>
        </w:rPr>
        <w:t>.</w:t>
      </w:r>
    </w:p>
    <w:p w:rsidR="00D121A2" w:rsidRPr="001054CF" w:rsidRDefault="00D121A2" w:rsidP="001054CF">
      <w:pPr>
        <w:spacing w:line="360" w:lineRule="auto"/>
        <w:jc w:val="both"/>
        <w:rPr>
          <w:sz w:val="20"/>
          <w:szCs w:val="20"/>
          <w:lang w:val="en-GB"/>
        </w:rPr>
      </w:pPr>
      <w:r w:rsidRPr="001054CF">
        <w:rPr>
          <w:sz w:val="20"/>
          <w:szCs w:val="20"/>
          <w:lang w:val="en-GB"/>
        </w:rPr>
        <w:t>A policy implementation</w:t>
      </w:r>
      <w:r w:rsidR="008F4BD7" w:rsidRPr="001054CF">
        <w:rPr>
          <w:sz w:val="20"/>
          <w:szCs w:val="20"/>
          <w:lang w:val="en-GB"/>
        </w:rPr>
        <w:t>, especially in education,</w:t>
      </w:r>
      <w:r w:rsidRPr="001054CF">
        <w:rPr>
          <w:sz w:val="20"/>
          <w:szCs w:val="20"/>
          <w:lang w:val="en-GB"/>
        </w:rPr>
        <w:t xml:space="preserve"> is always the product of compromises between multiple agendas, political actors and conflicts to impose interests, points of view, and discourses. Moreover, legislative documents never reveal a policy implementation, especially in </w:t>
      </w:r>
      <w:r w:rsidR="008F4BD7" w:rsidRPr="001054CF">
        <w:rPr>
          <w:sz w:val="20"/>
          <w:szCs w:val="20"/>
          <w:lang w:val="en-GB"/>
        </w:rPr>
        <w:t>school reform</w:t>
      </w:r>
      <w:r w:rsidRPr="001054CF">
        <w:rPr>
          <w:sz w:val="20"/>
          <w:szCs w:val="20"/>
          <w:lang w:val="en-GB"/>
        </w:rPr>
        <w:t>. They rather represent an ideal aspiration, a planning thinking, a political vision more than a real transformative action and their analysis is obviously highly interpretive.</w:t>
      </w:r>
    </w:p>
    <w:p w:rsidR="00D121A2" w:rsidRPr="001054CF" w:rsidRDefault="00D121A2" w:rsidP="001054CF">
      <w:pPr>
        <w:spacing w:line="360" w:lineRule="auto"/>
        <w:jc w:val="both"/>
        <w:rPr>
          <w:sz w:val="20"/>
          <w:szCs w:val="20"/>
          <w:lang w:val="en-GB"/>
        </w:rPr>
      </w:pPr>
      <w:r w:rsidRPr="001054CF">
        <w:rPr>
          <w:sz w:val="20"/>
          <w:szCs w:val="20"/>
          <w:lang w:val="en-GB"/>
        </w:rPr>
        <w:t>However, our argument was rooted in a broad data set, including 181 legislative documents</w:t>
      </w:r>
      <w:r w:rsidR="008F4BD7" w:rsidRPr="001054CF">
        <w:rPr>
          <w:sz w:val="20"/>
          <w:szCs w:val="20"/>
          <w:lang w:val="en-GB"/>
        </w:rPr>
        <w:t>,</w:t>
      </w:r>
      <w:r w:rsidRPr="001054CF">
        <w:rPr>
          <w:sz w:val="20"/>
          <w:szCs w:val="20"/>
          <w:lang w:val="en-GB"/>
        </w:rPr>
        <w:t xml:space="preserve"> semi-structured interview to 20 key informants (both policy makers and practitioners) in 10 countries, and 10 national reports elaborated by researchers in each country. Data have been analysed through a thematic analysis and conceptual comparative analysis, using some procedures of grounded theory approach. </w:t>
      </w:r>
    </w:p>
    <w:p w:rsidR="00D121A2" w:rsidRPr="001054CF" w:rsidRDefault="00D121A2" w:rsidP="001054CF">
      <w:pPr>
        <w:spacing w:line="360" w:lineRule="auto"/>
        <w:jc w:val="both"/>
        <w:rPr>
          <w:rFonts w:eastAsia="Calibri" w:cs="Calibri"/>
          <w:color w:val="00000A"/>
          <w:sz w:val="20"/>
          <w:szCs w:val="20"/>
          <w:shd w:val="clear" w:color="auto" w:fill="FFFFFF"/>
          <w:lang w:val="en-GB"/>
        </w:rPr>
      </w:pPr>
      <w:r w:rsidRPr="001054CF">
        <w:rPr>
          <w:rFonts w:eastAsia="Calibri" w:cs="Calibri"/>
          <w:color w:val="00000A"/>
          <w:sz w:val="20"/>
          <w:szCs w:val="20"/>
          <w:shd w:val="clear" w:color="auto" w:fill="FFFFFF"/>
          <w:lang w:val="en-GB"/>
        </w:rPr>
        <w:t>The analysis focuses on four main topics: 1) identification key actors and definition of their role, 2) concept and terminology analysis, 3) levels and modes of implementation of GCE in primary school, 4) identification of barriers to GCE introduction in primary school system.</w:t>
      </w:r>
    </w:p>
    <w:p w:rsidR="00D121A2" w:rsidRPr="001054CF" w:rsidRDefault="00D121A2" w:rsidP="001054CF">
      <w:pPr>
        <w:spacing w:line="360" w:lineRule="auto"/>
        <w:jc w:val="both"/>
        <w:rPr>
          <w:rFonts w:eastAsia="Calibri" w:cs="Calibri"/>
          <w:color w:val="00000A"/>
          <w:sz w:val="20"/>
          <w:szCs w:val="20"/>
          <w:shd w:val="clear" w:color="auto" w:fill="FFFFFF"/>
          <w:lang w:val="en-GB"/>
        </w:rPr>
      </w:pPr>
      <w:r w:rsidRPr="001054CF">
        <w:rPr>
          <w:rFonts w:eastAsia="Calibri" w:cs="Calibri"/>
          <w:color w:val="00000A"/>
          <w:sz w:val="20"/>
          <w:szCs w:val="20"/>
          <w:shd w:val="clear" w:color="auto" w:fill="FFFFFF"/>
          <w:lang w:val="en-GB"/>
        </w:rPr>
        <w:t>The research shows that political actors, not only governmental</w:t>
      </w:r>
      <w:r w:rsidR="008F4BD7" w:rsidRPr="001054CF">
        <w:rPr>
          <w:rFonts w:eastAsia="Calibri" w:cs="Calibri"/>
          <w:color w:val="00000A"/>
          <w:sz w:val="20"/>
          <w:szCs w:val="20"/>
          <w:shd w:val="clear" w:color="auto" w:fill="FFFFFF"/>
          <w:lang w:val="en-GB"/>
        </w:rPr>
        <w:t xml:space="preserve"> such as NGOs, local authorities, school staff, universities</w:t>
      </w:r>
      <w:r w:rsidRPr="001054CF">
        <w:rPr>
          <w:rFonts w:eastAsia="Calibri" w:cs="Calibri"/>
          <w:color w:val="00000A"/>
          <w:sz w:val="20"/>
          <w:szCs w:val="20"/>
          <w:shd w:val="clear" w:color="auto" w:fill="FFFFFF"/>
          <w:lang w:val="en-GB"/>
        </w:rPr>
        <w:t xml:space="preserve">, play a crucial role in implementing GCE policy as well as creating a widespread sensitivity and links between different actors, which in some countries risk to have little institutional coordination with schools. </w:t>
      </w:r>
    </w:p>
    <w:p w:rsidR="00D121A2" w:rsidRPr="001054CF" w:rsidRDefault="00D121A2" w:rsidP="001054CF">
      <w:pPr>
        <w:spacing w:line="360" w:lineRule="auto"/>
        <w:jc w:val="both"/>
        <w:rPr>
          <w:rFonts w:eastAsia="Calibri" w:cs="Calibri"/>
          <w:color w:val="00000A"/>
          <w:sz w:val="20"/>
          <w:szCs w:val="20"/>
          <w:shd w:val="clear" w:color="auto" w:fill="FFFFFF"/>
          <w:lang w:val="en-GB"/>
        </w:rPr>
      </w:pPr>
      <w:r w:rsidRPr="001054CF">
        <w:rPr>
          <w:rFonts w:eastAsia="Calibri" w:cs="Calibri"/>
          <w:color w:val="00000A"/>
          <w:sz w:val="20"/>
          <w:szCs w:val="20"/>
          <w:shd w:val="clear" w:color="auto" w:fill="FFFFFF"/>
          <w:lang w:val="en-GB"/>
        </w:rPr>
        <w:t>Conceptual analysis points out that, besides the choice of different wording of the GCE national terms, the main topics of which GCE is composed are very similar in every Country. Wording reflects mostly the history, will and political discourse of the organizations promoting GCE in the different countries.</w:t>
      </w:r>
    </w:p>
    <w:p w:rsidR="00383278" w:rsidRPr="001054CF" w:rsidRDefault="00383278" w:rsidP="001054CF">
      <w:pPr>
        <w:spacing w:line="360" w:lineRule="auto"/>
        <w:jc w:val="both"/>
        <w:rPr>
          <w:iCs/>
          <w:sz w:val="20"/>
          <w:szCs w:val="20"/>
          <w:lang w:val="en-GB"/>
        </w:rPr>
      </w:pPr>
      <w:r w:rsidRPr="001054CF">
        <w:rPr>
          <w:sz w:val="20"/>
          <w:szCs w:val="20"/>
          <w:lang w:val="en-GB"/>
        </w:rPr>
        <w:t>Two macro-themes emerged from the inductive analysis</w:t>
      </w:r>
      <w:r w:rsidR="00D121A2" w:rsidRPr="001054CF">
        <w:rPr>
          <w:sz w:val="20"/>
          <w:szCs w:val="20"/>
          <w:lang w:val="en-GB"/>
        </w:rPr>
        <w:t xml:space="preserve"> of national polices</w:t>
      </w:r>
      <w:r w:rsidRPr="001054CF">
        <w:rPr>
          <w:sz w:val="20"/>
          <w:szCs w:val="20"/>
          <w:lang w:val="en-GB"/>
        </w:rPr>
        <w:t>: (1) Political scales</w:t>
      </w:r>
      <w:r w:rsidR="002C6A09" w:rsidRPr="001054CF">
        <w:rPr>
          <w:sz w:val="20"/>
          <w:szCs w:val="20"/>
          <w:lang w:val="en-GB"/>
        </w:rPr>
        <w:t>,</w:t>
      </w:r>
      <w:r w:rsidRPr="001054CF">
        <w:rPr>
          <w:sz w:val="20"/>
          <w:szCs w:val="20"/>
          <w:lang w:val="en-GB"/>
        </w:rPr>
        <w:t xml:space="preserve"> highlighting national levels and modes of implementation; (2) </w:t>
      </w:r>
      <w:r w:rsidR="0019561E" w:rsidRPr="001054CF">
        <w:rPr>
          <w:sz w:val="20"/>
          <w:szCs w:val="20"/>
          <w:lang w:val="en-GB"/>
        </w:rPr>
        <w:t>P</w:t>
      </w:r>
      <w:r w:rsidRPr="001054CF">
        <w:rPr>
          <w:sz w:val="20"/>
          <w:szCs w:val="20"/>
          <w:lang w:val="en-GB"/>
        </w:rPr>
        <w:t>olitical actors (</w:t>
      </w:r>
      <w:r w:rsidR="0019561E" w:rsidRPr="001054CF">
        <w:rPr>
          <w:sz w:val="20"/>
          <w:szCs w:val="20"/>
          <w:lang w:val="en-GB"/>
        </w:rPr>
        <w:t>governmental</w:t>
      </w:r>
      <w:r w:rsidRPr="001054CF">
        <w:rPr>
          <w:sz w:val="20"/>
          <w:szCs w:val="20"/>
          <w:lang w:val="en-GB"/>
        </w:rPr>
        <w:t xml:space="preserve">, not </w:t>
      </w:r>
      <w:r w:rsidR="0019561E" w:rsidRPr="001054CF">
        <w:rPr>
          <w:sz w:val="20"/>
          <w:szCs w:val="20"/>
          <w:lang w:val="en-GB"/>
        </w:rPr>
        <w:t>governmental</w:t>
      </w:r>
      <w:r w:rsidRPr="001054CF">
        <w:rPr>
          <w:sz w:val="20"/>
          <w:szCs w:val="20"/>
          <w:lang w:val="en-GB"/>
        </w:rPr>
        <w:t xml:space="preserve">, </w:t>
      </w:r>
      <w:r w:rsidR="0019561E" w:rsidRPr="001054CF">
        <w:rPr>
          <w:sz w:val="20"/>
          <w:szCs w:val="20"/>
          <w:lang w:val="en-GB"/>
        </w:rPr>
        <w:t>intergovernmental</w:t>
      </w:r>
      <w:r w:rsidR="002C6A09" w:rsidRPr="001054CF">
        <w:rPr>
          <w:sz w:val="20"/>
          <w:szCs w:val="20"/>
          <w:lang w:val="en-GB"/>
        </w:rPr>
        <w:t>)</w:t>
      </w:r>
      <w:r w:rsidR="00050601" w:rsidRPr="001054CF">
        <w:rPr>
          <w:sz w:val="20"/>
          <w:szCs w:val="20"/>
          <w:lang w:val="en-GB"/>
        </w:rPr>
        <w:t xml:space="preserve"> with a special attention to the key role played by NGOs.</w:t>
      </w:r>
      <w:r w:rsidR="0019561E" w:rsidRPr="001054CF">
        <w:rPr>
          <w:sz w:val="20"/>
          <w:szCs w:val="20"/>
          <w:lang w:val="en-GB"/>
        </w:rPr>
        <w:t xml:space="preserve"> Finally, we elicited three</w:t>
      </w:r>
      <w:r w:rsidR="002C6A09" w:rsidRPr="001054CF">
        <w:rPr>
          <w:sz w:val="20"/>
          <w:szCs w:val="20"/>
          <w:lang w:val="en-GB"/>
        </w:rPr>
        <w:t xml:space="preserve"> main cluster</w:t>
      </w:r>
      <w:r w:rsidR="0019561E" w:rsidRPr="001054CF">
        <w:rPr>
          <w:sz w:val="20"/>
          <w:szCs w:val="20"/>
          <w:lang w:val="en-GB"/>
        </w:rPr>
        <w:t>s</w:t>
      </w:r>
      <w:r w:rsidR="002C6A09" w:rsidRPr="001054CF">
        <w:rPr>
          <w:sz w:val="20"/>
          <w:szCs w:val="20"/>
          <w:lang w:val="en-GB"/>
        </w:rPr>
        <w:t xml:space="preserve"> of nations which can illustrate and </w:t>
      </w:r>
      <w:r w:rsidR="0019561E" w:rsidRPr="001054CF">
        <w:rPr>
          <w:sz w:val="20"/>
          <w:szCs w:val="20"/>
          <w:lang w:val="en-GB"/>
        </w:rPr>
        <w:t>typifying</w:t>
      </w:r>
      <w:r w:rsidR="002C6A09" w:rsidRPr="001054CF">
        <w:rPr>
          <w:sz w:val="20"/>
          <w:szCs w:val="20"/>
          <w:lang w:val="en-GB"/>
        </w:rPr>
        <w:t xml:space="preserve"> some </w:t>
      </w:r>
      <w:r w:rsidR="0019561E" w:rsidRPr="001054CF">
        <w:rPr>
          <w:sz w:val="20"/>
          <w:szCs w:val="20"/>
          <w:lang w:val="en-GB"/>
        </w:rPr>
        <w:t>political</w:t>
      </w:r>
      <w:r w:rsidR="002C6A09" w:rsidRPr="001054CF">
        <w:rPr>
          <w:sz w:val="20"/>
          <w:szCs w:val="20"/>
          <w:lang w:val="en-GB"/>
        </w:rPr>
        <w:t xml:space="preserve"> paths used in </w:t>
      </w:r>
      <w:r w:rsidR="0019561E" w:rsidRPr="001054CF">
        <w:rPr>
          <w:sz w:val="20"/>
          <w:szCs w:val="20"/>
          <w:lang w:val="en-GB"/>
        </w:rPr>
        <w:t>certain</w:t>
      </w:r>
      <w:r w:rsidR="002C6A09" w:rsidRPr="001054CF">
        <w:rPr>
          <w:sz w:val="20"/>
          <w:szCs w:val="20"/>
          <w:lang w:val="en-GB"/>
        </w:rPr>
        <w:t xml:space="preserve"> groups of countries to </w:t>
      </w:r>
      <w:r w:rsidR="002C6A09" w:rsidRPr="001054CF">
        <w:rPr>
          <w:sz w:val="20"/>
          <w:szCs w:val="20"/>
          <w:lang w:val="en-GB"/>
        </w:rPr>
        <w:lastRenderedPageBreak/>
        <w:t>introduce GCE in primary schools.</w:t>
      </w:r>
      <w:r w:rsidR="001054CF">
        <w:rPr>
          <w:sz w:val="20"/>
          <w:szCs w:val="20"/>
          <w:lang w:val="en-GB"/>
        </w:rPr>
        <w:t xml:space="preserve"> </w:t>
      </w:r>
      <w:r w:rsidR="002C6A09" w:rsidRPr="001054CF">
        <w:rPr>
          <w:sz w:val="20"/>
          <w:szCs w:val="20"/>
          <w:lang w:val="en-GB"/>
        </w:rPr>
        <w:t xml:space="preserve">Clusters presents </w:t>
      </w:r>
      <w:r w:rsidR="0019561E" w:rsidRPr="001054CF">
        <w:rPr>
          <w:sz w:val="20"/>
          <w:szCs w:val="20"/>
          <w:lang w:val="en-GB"/>
        </w:rPr>
        <w:t>themselves</w:t>
      </w:r>
      <w:r w:rsidR="002C6A09" w:rsidRPr="001054CF">
        <w:rPr>
          <w:sz w:val="20"/>
          <w:szCs w:val="20"/>
          <w:lang w:val="en-GB"/>
        </w:rPr>
        <w:t xml:space="preserve"> as </w:t>
      </w:r>
      <w:r w:rsidR="002C6A09" w:rsidRPr="001054CF">
        <w:rPr>
          <w:iCs/>
          <w:sz w:val="20"/>
          <w:szCs w:val="20"/>
          <w:lang w:val="en-GB"/>
        </w:rPr>
        <w:t>tensions between opposite extremes: Bottom up / top down; Centralized/decentralized; Through one major teaching subject/ through dissemination in several channels.</w:t>
      </w:r>
    </w:p>
    <w:p w:rsidR="002C6A09" w:rsidRPr="001054CF" w:rsidRDefault="002C6A09" w:rsidP="001054CF">
      <w:pPr>
        <w:spacing w:line="360" w:lineRule="auto"/>
        <w:jc w:val="both"/>
        <w:rPr>
          <w:iCs/>
          <w:sz w:val="20"/>
          <w:szCs w:val="20"/>
          <w:lang w:val="en-GB"/>
        </w:rPr>
      </w:pPr>
      <w:r w:rsidRPr="001054CF">
        <w:rPr>
          <w:iCs/>
          <w:sz w:val="20"/>
          <w:szCs w:val="20"/>
          <w:lang w:val="en-GB"/>
        </w:rPr>
        <w:t xml:space="preserve">In this </w:t>
      </w:r>
      <w:r w:rsidR="00EA4C02" w:rsidRPr="001054CF">
        <w:rPr>
          <w:iCs/>
          <w:sz w:val="20"/>
          <w:szCs w:val="20"/>
          <w:lang w:val="en-GB"/>
        </w:rPr>
        <w:t>presentation</w:t>
      </w:r>
      <w:r w:rsidR="0019561E" w:rsidRPr="001054CF">
        <w:rPr>
          <w:iCs/>
          <w:sz w:val="20"/>
          <w:szCs w:val="20"/>
          <w:lang w:val="en-GB"/>
        </w:rPr>
        <w:t>,</w:t>
      </w:r>
      <w:r w:rsidRPr="001054CF">
        <w:rPr>
          <w:iCs/>
          <w:sz w:val="20"/>
          <w:szCs w:val="20"/>
          <w:lang w:val="en-GB"/>
        </w:rPr>
        <w:t xml:space="preserve"> in particular, </w:t>
      </w:r>
      <w:r w:rsidR="003F09B1" w:rsidRPr="001054CF">
        <w:rPr>
          <w:iCs/>
          <w:sz w:val="20"/>
          <w:szCs w:val="20"/>
          <w:lang w:val="en-GB"/>
        </w:rPr>
        <w:t xml:space="preserve">after having briefly outlined the fundamental role played by NGOs as new concepts advocates and teachers as agents of change, </w:t>
      </w:r>
      <w:r w:rsidR="00EA4C02" w:rsidRPr="001054CF">
        <w:rPr>
          <w:iCs/>
          <w:sz w:val="20"/>
          <w:szCs w:val="20"/>
          <w:lang w:val="en-GB"/>
        </w:rPr>
        <w:t>I</w:t>
      </w:r>
      <w:r w:rsidRPr="001054CF">
        <w:rPr>
          <w:iCs/>
          <w:sz w:val="20"/>
          <w:szCs w:val="20"/>
          <w:lang w:val="en-GB"/>
        </w:rPr>
        <w:t xml:space="preserve"> focus on national governmental agencies, encomp</w:t>
      </w:r>
      <w:r w:rsidR="0019561E" w:rsidRPr="001054CF">
        <w:rPr>
          <w:iCs/>
          <w:sz w:val="20"/>
          <w:szCs w:val="20"/>
          <w:lang w:val="en-GB"/>
        </w:rPr>
        <w:t>assing two main bodies (Ministries</w:t>
      </w:r>
      <w:r w:rsidRPr="001054CF">
        <w:rPr>
          <w:iCs/>
          <w:sz w:val="20"/>
          <w:szCs w:val="20"/>
          <w:lang w:val="en-GB"/>
        </w:rPr>
        <w:t xml:space="preserve"> of Foreign Affairs and </w:t>
      </w:r>
      <w:r w:rsidR="0019561E" w:rsidRPr="001054CF">
        <w:rPr>
          <w:iCs/>
          <w:sz w:val="20"/>
          <w:szCs w:val="20"/>
          <w:lang w:val="en-GB"/>
        </w:rPr>
        <w:t>Ministries</w:t>
      </w:r>
      <w:r w:rsidRPr="001054CF">
        <w:rPr>
          <w:iCs/>
          <w:sz w:val="20"/>
          <w:szCs w:val="20"/>
          <w:lang w:val="en-GB"/>
        </w:rPr>
        <w:t xml:space="preserve"> of Education)</w:t>
      </w:r>
      <w:r w:rsidR="00013B3D" w:rsidRPr="001054CF">
        <w:rPr>
          <w:iCs/>
          <w:sz w:val="20"/>
          <w:szCs w:val="20"/>
          <w:lang w:val="en-GB"/>
        </w:rPr>
        <w:t xml:space="preserve"> and their political discourses</w:t>
      </w:r>
      <w:r w:rsidRPr="001054CF">
        <w:rPr>
          <w:iCs/>
          <w:sz w:val="20"/>
          <w:szCs w:val="20"/>
          <w:lang w:val="en-GB"/>
        </w:rPr>
        <w:t xml:space="preserve">, </w:t>
      </w:r>
      <w:r w:rsidR="007415AE" w:rsidRPr="001054CF">
        <w:rPr>
          <w:iCs/>
          <w:sz w:val="20"/>
          <w:szCs w:val="20"/>
          <w:lang w:val="en-GB"/>
        </w:rPr>
        <w:t>arguing that the</w:t>
      </w:r>
      <w:r w:rsidRPr="001054CF">
        <w:rPr>
          <w:iCs/>
          <w:sz w:val="20"/>
          <w:szCs w:val="20"/>
          <w:lang w:val="en-US"/>
        </w:rPr>
        <w:t>gap between the two traditions, wit</w:t>
      </w:r>
      <w:r w:rsidR="007415AE" w:rsidRPr="001054CF">
        <w:rPr>
          <w:iCs/>
          <w:sz w:val="20"/>
          <w:szCs w:val="20"/>
          <w:lang w:val="en-US"/>
        </w:rPr>
        <w:t xml:space="preserve">h separate approaches, purposes, concepts </w:t>
      </w:r>
      <w:r w:rsidRPr="001054CF">
        <w:rPr>
          <w:iCs/>
          <w:sz w:val="20"/>
          <w:szCs w:val="20"/>
          <w:lang w:val="en-US"/>
        </w:rPr>
        <w:t>and bureaucracies represent a strategic political challenge</w:t>
      </w:r>
      <w:r w:rsidR="007415AE" w:rsidRPr="001054CF">
        <w:rPr>
          <w:iCs/>
          <w:sz w:val="20"/>
          <w:szCs w:val="20"/>
          <w:lang w:val="en-US"/>
        </w:rPr>
        <w:t xml:space="preserve"> for the introduction of GCE in primary schools.</w:t>
      </w:r>
    </w:p>
    <w:p w:rsidR="002C6A09" w:rsidRPr="001054CF" w:rsidRDefault="002C6A09" w:rsidP="001054CF">
      <w:pPr>
        <w:spacing w:line="360" w:lineRule="auto"/>
        <w:jc w:val="both"/>
        <w:rPr>
          <w:sz w:val="20"/>
          <w:szCs w:val="20"/>
          <w:lang w:val="en-GB"/>
        </w:rPr>
      </w:pPr>
    </w:p>
    <w:p w:rsidR="00591675" w:rsidRPr="001054CF" w:rsidRDefault="008F1647" w:rsidP="001054CF">
      <w:pPr>
        <w:pStyle w:val="Titolo2"/>
        <w:jc w:val="both"/>
        <w:rPr>
          <w:rFonts w:asciiTheme="minorHAnsi" w:hAnsiTheme="minorHAnsi"/>
          <w:sz w:val="20"/>
          <w:szCs w:val="20"/>
          <w:lang w:val="en-US"/>
        </w:rPr>
      </w:pPr>
      <w:r w:rsidRPr="001054CF">
        <w:rPr>
          <w:rFonts w:asciiTheme="minorHAnsi" w:hAnsiTheme="minorHAnsi"/>
          <w:sz w:val="20"/>
          <w:szCs w:val="20"/>
          <w:lang w:val="en-US"/>
        </w:rPr>
        <w:t>Essential bibliography</w:t>
      </w:r>
    </w:p>
    <w:p w:rsidR="008F1647" w:rsidRPr="001054CF" w:rsidRDefault="008F1647" w:rsidP="001054CF">
      <w:pPr>
        <w:spacing w:after="120" w:line="276" w:lineRule="auto"/>
        <w:ind w:left="720" w:hanging="720"/>
        <w:jc w:val="both"/>
        <w:rPr>
          <w:sz w:val="20"/>
          <w:szCs w:val="20"/>
          <w:lang w:val="en-GB"/>
        </w:rPr>
      </w:pPr>
      <w:proofErr w:type="spellStart"/>
      <w:r w:rsidRPr="001054CF">
        <w:rPr>
          <w:rFonts w:eastAsia="Calibri" w:cs="Calibri"/>
          <w:color w:val="00000A"/>
          <w:sz w:val="20"/>
          <w:szCs w:val="20"/>
          <w:shd w:val="clear" w:color="auto" w:fill="FFFFFF"/>
          <w:lang w:val="en-GB"/>
        </w:rPr>
        <w:t>Abdi</w:t>
      </w:r>
      <w:proofErr w:type="spellEnd"/>
      <w:r w:rsidRPr="001054CF">
        <w:rPr>
          <w:rFonts w:eastAsia="Calibri" w:cs="Calibri"/>
          <w:color w:val="00000A"/>
          <w:sz w:val="20"/>
          <w:szCs w:val="20"/>
          <w:shd w:val="clear" w:color="auto" w:fill="FFFFFF"/>
          <w:lang w:val="en-GB"/>
        </w:rPr>
        <w:t xml:space="preserve">, A. A., Shultz, L. and </w:t>
      </w:r>
      <w:proofErr w:type="spellStart"/>
      <w:r w:rsidRPr="001054CF">
        <w:rPr>
          <w:rFonts w:eastAsia="Calibri" w:cs="Calibri"/>
          <w:color w:val="00000A"/>
          <w:sz w:val="20"/>
          <w:szCs w:val="20"/>
          <w:shd w:val="clear" w:color="auto" w:fill="FFFFFF"/>
          <w:lang w:val="en-GB"/>
        </w:rPr>
        <w:t>Pillay</w:t>
      </w:r>
      <w:proofErr w:type="spellEnd"/>
      <w:r w:rsidRPr="001054CF">
        <w:rPr>
          <w:rFonts w:eastAsia="Calibri" w:cs="Calibri"/>
          <w:color w:val="00000A"/>
          <w:sz w:val="20"/>
          <w:szCs w:val="20"/>
          <w:shd w:val="clear" w:color="auto" w:fill="FFFFFF"/>
          <w:lang w:val="en-GB"/>
        </w:rPr>
        <w:t xml:space="preserve">, T. (2015), </w:t>
      </w:r>
      <w:r w:rsidRPr="001054CF">
        <w:rPr>
          <w:rFonts w:eastAsia="Calibri" w:cs="Calibri"/>
          <w:i/>
          <w:color w:val="00000A"/>
          <w:sz w:val="20"/>
          <w:szCs w:val="20"/>
          <w:shd w:val="clear" w:color="auto" w:fill="FFFFFF"/>
          <w:lang w:val="en-GB"/>
        </w:rPr>
        <w:t>Decolonizing Global Citizenship Education</w:t>
      </w:r>
      <w:r w:rsidRPr="001054CF">
        <w:rPr>
          <w:rFonts w:eastAsia="Calibri" w:cs="Calibri"/>
          <w:color w:val="00000A"/>
          <w:sz w:val="20"/>
          <w:szCs w:val="20"/>
          <w:shd w:val="clear" w:color="auto" w:fill="FFFFFF"/>
          <w:lang w:val="en-GB"/>
        </w:rPr>
        <w:t>. Rotterdam, The Netherlands: Sense Publishers.</w:t>
      </w:r>
    </w:p>
    <w:p w:rsidR="008F1647" w:rsidRPr="001054CF" w:rsidRDefault="008F1647" w:rsidP="001054CF">
      <w:pPr>
        <w:spacing w:before="100" w:after="100" w:line="276" w:lineRule="auto"/>
        <w:jc w:val="both"/>
        <w:rPr>
          <w:sz w:val="20"/>
          <w:szCs w:val="20"/>
          <w:lang w:val="en-GB"/>
        </w:rPr>
      </w:pPr>
      <w:proofErr w:type="spellStart"/>
      <w:r w:rsidRPr="001054CF">
        <w:rPr>
          <w:rFonts w:eastAsia="Calibri" w:cs="Calibri"/>
          <w:color w:val="00000A"/>
          <w:sz w:val="20"/>
          <w:szCs w:val="20"/>
          <w:shd w:val="clear" w:color="auto" w:fill="FFFFFF"/>
          <w:lang w:val="en-GB"/>
        </w:rPr>
        <w:t>Abdi</w:t>
      </w:r>
      <w:proofErr w:type="spellEnd"/>
      <w:r w:rsidRPr="001054CF">
        <w:rPr>
          <w:rFonts w:eastAsia="Calibri" w:cs="Calibri"/>
          <w:color w:val="00000A"/>
          <w:sz w:val="20"/>
          <w:szCs w:val="20"/>
          <w:shd w:val="clear" w:color="auto" w:fill="FFFFFF"/>
          <w:lang w:val="en-GB"/>
        </w:rPr>
        <w:t>, A. and Shultz, L. (</w:t>
      </w:r>
      <w:proofErr w:type="spellStart"/>
      <w:r w:rsidRPr="001054CF">
        <w:rPr>
          <w:rFonts w:eastAsia="Calibri" w:cs="Calibri"/>
          <w:color w:val="00000A"/>
          <w:sz w:val="20"/>
          <w:szCs w:val="20"/>
          <w:shd w:val="clear" w:color="auto" w:fill="FFFFFF"/>
          <w:lang w:val="en-GB"/>
        </w:rPr>
        <w:t>eds</w:t>
      </w:r>
      <w:proofErr w:type="spellEnd"/>
      <w:r w:rsidRPr="001054CF">
        <w:rPr>
          <w:rFonts w:eastAsia="Calibri" w:cs="Calibri"/>
          <w:color w:val="00000A"/>
          <w:sz w:val="20"/>
          <w:szCs w:val="20"/>
          <w:shd w:val="clear" w:color="auto" w:fill="FFFFFF"/>
          <w:lang w:val="en-GB"/>
        </w:rPr>
        <w:t xml:space="preserve">) (2011), </w:t>
      </w:r>
      <w:proofErr w:type="spellStart"/>
      <w:r w:rsidRPr="001054CF">
        <w:rPr>
          <w:rFonts w:eastAsia="Calibri" w:cs="Calibri"/>
          <w:i/>
          <w:color w:val="00000A"/>
          <w:sz w:val="20"/>
          <w:szCs w:val="20"/>
          <w:shd w:val="clear" w:color="auto" w:fill="FFFFFF"/>
          <w:lang w:val="en-GB"/>
        </w:rPr>
        <w:t>GlobalCitizenship</w:t>
      </w:r>
      <w:proofErr w:type="spellEnd"/>
      <w:r w:rsidRPr="001054CF">
        <w:rPr>
          <w:rFonts w:eastAsia="Calibri" w:cs="Calibri"/>
          <w:i/>
          <w:color w:val="00000A"/>
          <w:sz w:val="20"/>
          <w:szCs w:val="20"/>
          <w:shd w:val="clear" w:color="auto" w:fill="FFFFFF"/>
          <w:lang w:val="en-GB"/>
        </w:rPr>
        <w:t xml:space="preserve"> Education in Post-Secondary Institutions: Theories, practices, policies</w:t>
      </w:r>
      <w:r w:rsidRPr="001054CF">
        <w:rPr>
          <w:rFonts w:eastAsia="Calibri" w:cs="Calibri"/>
          <w:color w:val="00000A"/>
          <w:sz w:val="20"/>
          <w:szCs w:val="20"/>
          <w:shd w:val="clear" w:color="auto" w:fill="FFFFFF"/>
          <w:lang w:val="en-GB"/>
        </w:rPr>
        <w:t>. New York: Peter Lang.</w:t>
      </w:r>
    </w:p>
    <w:p w:rsidR="008F1647" w:rsidRPr="001054CF" w:rsidRDefault="008F1647" w:rsidP="001054CF">
      <w:pPr>
        <w:spacing w:after="120" w:line="276" w:lineRule="auto"/>
        <w:ind w:left="720" w:hanging="720"/>
        <w:jc w:val="both"/>
        <w:rPr>
          <w:rFonts w:eastAsia="Calibri" w:cs="Calibri"/>
          <w:color w:val="00000A"/>
          <w:sz w:val="20"/>
          <w:szCs w:val="20"/>
          <w:shd w:val="clear" w:color="auto" w:fill="FFFFFF"/>
          <w:lang w:val="en-GB"/>
        </w:rPr>
      </w:pPr>
      <w:proofErr w:type="spellStart"/>
      <w:r w:rsidRPr="001054CF">
        <w:rPr>
          <w:rFonts w:eastAsia="Calibri" w:cs="Calibri"/>
          <w:color w:val="00000A"/>
          <w:sz w:val="20"/>
          <w:szCs w:val="20"/>
          <w:shd w:val="clear" w:color="auto" w:fill="FFFFFF"/>
          <w:lang w:val="en-GB"/>
        </w:rPr>
        <w:t>Andreotti</w:t>
      </w:r>
      <w:proofErr w:type="spellEnd"/>
      <w:r w:rsidRPr="001054CF">
        <w:rPr>
          <w:rFonts w:eastAsia="Calibri" w:cs="Calibri"/>
          <w:color w:val="00000A"/>
          <w:sz w:val="20"/>
          <w:szCs w:val="20"/>
          <w:shd w:val="clear" w:color="auto" w:fill="FFFFFF"/>
          <w:lang w:val="en-GB"/>
        </w:rPr>
        <w:t xml:space="preserve">, V. (2006), ‘Soft versus critical global citizenship education’, in </w:t>
      </w:r>
      <w:r w:rsidRPr="001054CF">
        <w:rPr>
          <w:rFonts w:eastAsia="Calibri" w:cs="Calibri"/>
          <w:i/>
          <w:color w:val="00000A"/>
          <w:sz w:val="20"/>
          <w:szCs w:val="20"/>
          <w:shd w:val="clear" w:color="auto" w:fill="FFFFFF"/>
          <w:lang w:val="en-GB"/>
        </w:rPr>
        <w:t>Policy &amp; Practice: A development education review</w:t>
      </w:r>
      <w:r w:rsidRPr="001054CF">
        <w:rPr>
          <w:rFonts w:eastAsia="Calibri" w:cs="Calibri"/>
          <w:color w:val="00000A"/>
          <w:sz w:val="20"/>
          <w:szCs w:val="20"/>
          <w:shd w:val="clear" w:color="auto" w:fill="FFFFFF"/>
          <w:lang w:val="en-GB"/>
        </w:rPr>
        <w:t>, 3: 40-51.</w:t>
      </w:r>
    </w:p>
    <w:p w:rsidR="008F1647" w:rsidRPr="001054CF" w:rsidRDefault="008F1647" w:rsidP="001054CF">
      <w:pPr>
        <w:spacing w:after="120" w:line="276" w:lineRule="auto"/>
        <w:ind w:left="720" w:hanging="720"/>
        <w:jc w:val="both"/>
        <w:rPr>
          <w:rFonts w:eastAsia="Calibri" w:cs="Calibri"/>
          <w:color w:val="00000A"/>
          <w:sz w:val="20"/>
          <w:szCs w:val="20"/>
          <w:shd w:val="clear" w:color="auto" w:fill="FFFFFF"/>
          <w:lang w:val="en-GB"/>
        </w:rPr>
      </w:pPr>
      <w:proofErr w:type="spellStart"/>
      <w:r w:rsidRPr="001054CF">
        <w:rPr>
          <w:rFonts w:eastAsia="Calibri" w:cs="Calibri"/>
          <w:color w:val="00000A"/>
          <w:sz w:val="20"/>
          <w:szCs w:val="20"/>
          <w:shd w:val="clear" w:color="auto" w:fill="FFFFFF"/>
          <w:lang w:val="en-GB"/>
        </w:rPr>
        <w:t>Andreotti</w:t>
      </w:r>
      <w:proofErr w:type="spellEnd"/>
      <w:r w:rsidRPr="001054CF">
        <w:rPr>
          <w:rFonts w:eastAsia="Calibri" w:cs="Calibri"/>
          <w:color w:val="00000A"/>
          <w:sz w:val="20"/>
          <w:szCs w:val="20"/>
          <w:shd w:val="clear" w:color="auto" w:fill="FFFFFF"/>
          <w:lang w:val="en-GB"/>
        </w:rPr>
        <w:t>, V. and de Souza, L. M. T. M. (</w:t>
      </w:r>
      <w:proofErr w:type="spellStart"/>
      <w:r w:rsidRPr="001054CF">
        <w:rPr>
          <w:rFonts w:eastAsia="Calibri" w:cs="Calibri"/>
          <w:color w:val="00000A"/>
          <w:sz w:val="20"/>
          <w:szCs w:val="20"/>
          <w:shd w:val="clear" w:color="auto" w:fill="FFFFFF"/>
          <w:lang w:val="en-GB"/>
        </w:rPr>
        <w:t>eds</w:t>
      </w:r>
      <w:proofErr w:type="spellEnd"/>
      <w:r w:rsidRPr="001054CF">
        <w:rPr>
          <w:rFonts w:eastAsia="Calibri" w:cs="Calibri"/>
          <w:color w:val="00000A"/>
          <w:sz w:val="20"/>
          <w:szCs w:val="20"/>
          <w:shd w:val="clear" w:color="auto" w:fill="FFFFFF"/>
          <w:lang w:val="en-GB"/>
        </w:rPr>
        <w:t xml:space="preserve">) (2012), </w:t>
      </w:r>
      <w:r w:rsidRPr="001054CF">
        <w:rPr>
          <w:rFonts w:eastAsia="Calibri" w:cs="Calibri"/>
          <w:i/>
          <w:color w:val="00000A"/>
          <w:sz w:val="20"/>
          <w:szCs w:val="20"/>
          <w:shd w:val="clear" w:color="auto" w:fill="FFFFFF"/>
          <w:lang w:val="en-GB"/>
        </w:rPr>
        <w:t>Postcolonial Perspectives on Global Citizenship Education</w:t>
      </w:r>
      <w:r w:rsidRPr="001054CF">
        <w:rPr>
          <w:rFonts w:eastAsia="Calibri" w:cs="Calibri"/>
          <w:color w:val="00000A"/>
          <w:sz w:val="20"/>
          <w:szCs w:val="20"/>
          <w:shd w:val="clear" w:color="auto" w:fill="FFFFFF"/>
          <w:lang w:val="en-GB"/>
        </w:rPr>
        <w:t xml:space="preserve">. New York and London: </w:t>
      </w:r>
      <w:proofErr w:type="spellStart"/>
      <w:r w:rsidRPr="001054CF">
        <w:rPr>
          <w:rFonts w:eastAsia="Calibri" w:cs="Calibri"/>
          <w:color w:val="00000A"/>
          <w:sz w:val="20"/>
          <w:szCs w:val="20"/>
          <w:shd w:val="clear" w:color="auto" w:fill="FFFFFF"/>
          <w:lang w:val="en-GB"/>
        </w:rPr>
        <w:t>Routledge</w:t>
      </w:r>
      <w:proofErr w:type="spellEnd"/>
      <w:r w:rsidRPr="001054CF">
        <w:rPr>
          <w:rFonts w:eastAsia="Calibri" w:cs="Calibri"/>
          <w:color w:val="00000A"/>
          <w:sz w:val="20"/>
          <w:szCs w:val="20"/>
          <w:shd w:val="clear" w:color="auto" w:fill="FFFFFF"/>
          <w:lang w:val="en-GB"/>
        </w:rPr>
        <w:t xml:space="preserve">. </w:t>
      </w:r>
    </w:p>
    <w:p w:rsidR="00844991" w:rsidRPr="001054CF" w:rsidRDefault="00844991" w:rsidP="001054CF">
      <w:pPr>
        <w:spacing w:after="120" w:line="276" w:lineRule="auto"/>
        <w:ind w:left="720" w:hanging="720"/>
        <w:jc w:val="both"/>
        <w:rPr>
          <w:sz w:val="20"/>
          <w:szCs w:val="20"/>
          <w:lang w:val="en-GB"/>
        </w:rPr>
      </w:pPr>
      <w:proofErr w:type="spellStart"/>
      <w:r w:rsidRPr="001054CF">
        <w:rPr>
          <w:sz w:val="20"/>
          <w:szCs w:val="20"/>
          <w:lang w:val="en-GB"/>
        </w:rPr>
        <w:t>Forghani-Arani</w:t>
      </w:r>
      <w:proofErr w:type="spellEnd"/>
      <w:r w:rsidRPr="001054CF">
        <w:rPr>
          <w:sz w:val="20"/>
          <w:szCs w:val="20"/>
          <w:lang w:val="en-GB"/>
        </w:rPr>
        <w:t xml:space="preserve">, N., </w:t>
      </w:r>
      <w:proofErr w:type="spellStart"/>
      <w:r w:rsidRPr="001054CF">
        <w:rPr>
          <w:sz w:val="20"/>
          <w:szCs w:val="20"/>
          <w:lang w:val="en-GB"/>
        </w:rPr>
        <w:t>Hartmeyer</w:t>
      </w:r>
      <w:proofErr w:type="spellEnd"/>
      <w:r w:rsidRPr="001054CF">
        <w:rPr>
          <w:sz w:val="20"/>
          <w:szCs w:val="20"/>
          <w:lang w:val="en-GB"/>
        </w:rPr>
        <w:t xml:space="preserve">, H., </w:t>
      </w:r>
      <w:proofErr w:type="spellStart"/>
      <w:r w:rsidRPr="001054CF">
        <w:rPr>
          <w:sz w:val="20"/>
          <w:szCs w:val="20"/>
          <w:lang w:val="en-GB"/>
        </w:rPr>
        <w:t>O’Loughlin</w:t>
      </w:r>
      <w:proofErr w:type="spellEnd"/>
      <w:r w:rsidRPr="001054CF">
        <w:rPr>
          <w:sz w:val="20"/>
          <w:szCs w:val="20"/>
          <w:lang w:val="en-GB"/>
        </w:rPr>
        <w:t xml:space="preserve">, E. and </w:t>
      </w:r>
      <w:proofErr w:type="spellStart"/>
      <w:r w:rsidRPr="001054CF">
        <w:rPr>
          <w:sz w:val="20"/>
          <w:szCs w:val="20"/>
          <w:lang w:val="en-GB"/>
        </w:rPr>
        <w:t>Wegimont</w:t>
      </w:r>
      <w:proofErr w:type="spellEnd"/>
      <w:r w:rsidRPr="001054CF">
        <w:rPr>
          <w:sz w:val="20"/>
          <w:szCs w:val="20"/>
          <w:lang w:val="en-GB"/>
        </w:rPr>
        <w:t xml:space="preserve">, L. (2013), </w:t>
      </w:r>
      <w:r w:rsidRPr="001054CF">
        <w:rPr>
          <w:i/>
          <w:sz w:val="20"/>
          <w:szCs w:val="20"/>
          <w:lang w:val="en-GB"/>
        </w:rPr>
        <w:t>Global Education in Europe: Policy, practice and theoretical challenges</w:t>
      </w:r>
      <w:r w:rsidRPr="001054CF">
        <w:rPr>
          <w:sz w:val="20"/>
          <w:szCs w:val="20"/>
          <w:lang w:val="en-GB"/>
        </w:rPr>
        <w:t xml:space="preserve">. </w:t>
      </w:r>
      <w:proofErr w:type="spellStart"/>
      <w:r w:rsidRPr="001054CF">
        <w:rPr>
          <w:sz w:val="20"/>
          <w:szCs w:val="20"/>
          <w:lang w:val="en-GB"/>
        </w:rPr>
        <w:t>Münster</w:t>
      </w:r>
      <w:proofErr w:type="spellEnd"/>
      <w:r w:rsidRPr="001054CF">
        <w:rPr>
          <w:sz w:val="20"/>
          <w:szCs w:val="20"/>
          <w:lang w:val="en-GB"/>
        </w:rPr>
        <w:t xml:space="preserve">: </w:t>
      </w:r>
      <w:proofErr w:type="spellStart"/>
      <w:r w:rsidRPr="001054CF">
        <w:rPr>
          <w:sz w:val="20"/>
          <w:szCs w:val="20"/>
          <w:lang w:val="en-GB"/>
        </w:rPr>
        <w:t>Waxmann</w:t>
      </w:r>
      <w:proofErr w:type="spellEnd"/>
      <w:r w:rsidRPr="001054CF">
        <w:rPr>
          <w:sz w:val="20"/>
          <w:szCs w:val="20"/>
          <w:lang w:val="en-GB"/>
        </w:rPr>
        <w:t xml:space="preserve"> </w:t>
      </w:r>
      <w:proofErr w:type="spellStart"/>
      <w:r w:rsidRPr="001054CF">
        <w:rPr>
          <w:sz w:val="20"/>
          <w:szCs w:val="20"/>
          <w:lang w:val="en-GB"/>
        </w:rPr>
        <w:t>Verlag</w:t>
      </w:r>
      <w:proofErr w:type="spellEnd"/>
      <w:r w:rsidRPr="001054CF">
        <w:rPr>
          <w:sz w:val="20"/>
          <w:szCs w:val="20"/>
          <w:lang w:val="en-GB"/>
        </w:rPr>
        <w:t>.</w:t>
      </w:r>
    </w:p>
    <w:p w:rsidR="008F1647" w:rsidRPr="001054CF" w:rsidRDefault="008F1647" w:rsidP="001054CF">
      <w:pPr>
        <w:spacing w:after="120" w:line="276" w:lineRule="auto"/>
        <w:ind w:left="720" w:hanging="720"/>
        <w:jc w:val="both"/>
        <w:rPr>
          <w:sz w:val="20"/>
          <w:szCs w:val="20"/>
          <w:lang w:val="en-GB"/>
        </w:rPr>
      </w:pPr>
      <w:r w:rsidRPr="001054CF">
        <w:rPr>
          <w:sz w:val="20"/>
          <w:szCs w:val="20"/>
          <w:lang w:val="en-GB"/>
        </w:rPr>
        <w:t>Global education first initiative (2012) http://www.globaleducationfirst.org</w:t>
      </w:r>
    </w:p>
    <w:p w:rsidR="008F1647" w:rsidRPr="001054CF" w:rsidRDefault="008F1647" w:rsidP="001054CF">
      <w:pPr>
        <w:spacing w:after="120" w:line="276" w:lineRule="auto"/>
        <w:ind w:left="720" w:hanging="720"/>
        <w:jc w:val="both"/>
        <w:rPr>
          <w:sz w:val="20"/>
          <w:szCs w:val="20"/>
          <w:lang w:val="en-GB"/>
        </w:rPr>
      </w:pPr>
      <w:proofErr w:type="spellStart"/>
      <w:r w:rsidRPr="001054CF">
        <w:rPr>
          <w:sz w:val="20"/>
          <w:szCs w:val="20"/>
          <w:lang w:val="en-GB"/>
        </w:rPr>
        <w:t>Incheon</w:t>
      </w:r>
      <w:proofErr w:type="spellEnd"/>
      <w:r w:rsidRPr="001054CF">
        <w:rPr>
          <w:sz w:val="20"/>
          <w:szCs w:val="20"/>
          <w:lang w:val="en-GB"/>
        </w:rPr>
        <w:t xml:space="preserve"> declaration. Education 2030: Towards inclusive and equitable quality education and lifelong</w:t>
      </w:r>
      <w:r w:rsidR="00844991" w:rsidRPr="001054CF">
        <w:rPr>
          <w:sz w:val="20"/>
          <w:szCs w:val="20"/>
          <w:lang w:val="en-GB"/>
        </w:rPr>
        <w:t xml:space="preserve"> learning for all. </w:t>
      </w:r>
      <w:proofErr w:type="spellStart"/>
      <w:r w:rsidR="00844991" w:rsidRPr="001054CF">
        <w:rPr>
          <w:sz w:val="20"/>
          <w:szCs w:val="20"/>
          <w:lang w:val="en-GB"/>
        </w:rPr>
        <w:t>Unesco</w:t>
      </w:r>
      <w:proofErr w:type="spellEnd"/>
      <w:r w:rsidR="00844991" w:rsidRPr="001054CF">
        <w:rPr>
          <w:sz w:val="20"/>
          <w:szCs w:val="20"/>
          <w:lang w:val="en-GB"/>
        </w:rPr>
        <w:t>, 2015</w:t>
      </w:r>
      <w:r w:rsidRPr="001054CF">
        <w:rPr>
          <w:sz w:val="20"/>
          <w:szCs w:val="20"/>
          <w:lang w:val="en-GB"/>
        </w:rPr>
        <w:t>http://en.unesco.org/world-education-forum-2015/incheon-declaration</w:t>
      </w:r>
    </w:p>
    <w:p w:rsidR="008F1647" w:rsidRPr="001054CF" w:rsidRDefault="008F1647" w:rsidP="001054CF">
      <w:pPr>
        <w:spacing w:before="100" w:after="100" w:line="276" w:lineRule="auto"/>
        <w:jc w:val="both"/>
        <w:rPr>
          <w:sz w:val="20"/>
          <w:szCs w:val="20"/>
          <w:lang w:val="en-GB"/>
        </w:rPr>
      </w:pPr>
      <w:r w:rsidRPr="001054CF">
        <w:rPr>
          <w:rFonts w:eastAsia="Calibri" w:cs="Calibri"/>
          <w:color w:val="00000A"/>
          <w:sz w:val="20"/>
          <w:szCs w:val="20"/>
          <w:shd w:val="clear" w:color="auto" w:fill="FFFFFF"/>
          <w:lang w:val="en-GB"/>
        </w:rPr>
        <w:t xml:space="preserve">Peters, M. A., Britton, A. and </w:t>
      </w:r>
      <w:proofErr w:type="spellStart"/>
      <w:r w:rsidRPr="001054CF">
        <w:rPr>
          <w:rFonts w:eastAsia="Calibri" w:cs="Calibri"/>
          <w:color w:val="00000A"/>
          <w:sz w:val="20"/>
          <w:szCs w:val="20"/>
          <w:shd w:val="clear" w:color="auto" w:fill="FFFFFF"/>
          <w:lang w:val="en-GB"/>
        </w:rPr>
        <w:t>Blee</w:t>
      </w:r>
      <w:proofErr w:type="spellEnd"/>
      <w:r w:rsidRPr="001054CF">
        <w:rPr>
          <w:rFonts w:eastAsia="Calibri" w:cs="Calibri"/>
          <w:color w:val="00000A"/>
          <w:sz w:val="20"/>
          <w:szCs w:val="20"/>
          <w:shd w:val="clear" w:color="auto" w:fill="FFFFFF"/>
          <w:lang w:val="en-GB"/>
        </w:rPr>
        <w:t>, H. (</w:t>
      </w:r>
      <w:proofErr w:type="spellStart"/>
      <w:r w:rsidRPr="001054CF">
        <w:rPr>
          <w:rFonts w:eastAsia="Calibri" w:cs="Calibri"/>
          <w:color w:val="00000A"/>
          <w:sz w:val="20"/>
          <w:szCs w:val="20"/>
          <w:shd w:val="clear" w:color="auto" w:fill="FFFFFF"/>
          <w:lang w:val="en-GB"/>
        </w:rPr>
        <w:t>eds</w:t>
      </w:r>
      <w:proofErr w:type="spellEnd"/>
      <w:r w:rsidRPr="001054CF">
        <w:rPr>
          <w:rFonts w:eastAsia="Calibri" w:cs="Calibri"/>
          <w:color w:val="00000A"/>
          <w:sz w:val="20"/>
          <w:szCs w:val="20"/>
          <w:shd w:val="clear" w:color="auto" w:fill="FFFFFF"/>
          <w:lang w:val="en-GB"/>
        </w:rPr>
        <w:t xml:space="preserve">) (2008), </w:t>
      </w:r>
      <w:r w:rsidRPr="001054CF">
        <w:rPr>
          <w:rFonts w:eastAsia="Calibri" w:cs="Calibri"/>
          <w:i/>
          <w:color w:val="00000A"/>
          <w:sz w:val="20"/>
          <w:szCs w:val="20"/>
          <w:shd w:val="clear" w:color="auto" w:fill="FFFFFF"/>
          <w:lang w:val="en-GB"/>
        </w:rPr>
        <w:t>Global Citizenship Education: Philosophy, theory and pedagogy</w:t>
      </w:r>
      <w:r w:rsidRPr="001054CF">
        <w:rPr>
          <w:rFonts w:eastAsia="Calibri" w:cs="Calibri"/>
          <w:color w:val="00000A"/>
          <w:sz w:val="20"/>
          <w:szCs w:val="20"/>
          <w:shd w:val="clear" w:color="auto" w:fill="FFFFFF"/>
          <w:lang w:val="en-GB"/>
        </w:rPr>
        <w:t>. Rotterdam, The Netherlands: Sense Publishers.</w:t>
      </w:r>
    </w:p>
    <w:p w:rsidR="008F1647" w:rsidRPr="001054CF" w:rsidRDefault="008F1647" w:rsidP="001054CF">
      <w:pPr>
        <w:spacing w:before="100" w:after="100" w:line="276" w:lineRule="auto"/>
        <w:jc w:val="both"/>
        <w:rPr>
          <w:sz w:val="20"/>
          <w:szCs w:val="20"/>
          <w:lang w:val="en-GB"/>
        </w:rPr>
      </w:pPr>
      <w:proofErr w:type="spellStart"/>
      <w:r w:rsidRPr="001054CF">
        <w:rPr>
          <w:rFonts w:eastAsia="Calibri" w:cs="Calibri"/>
          <w:color w:val="00000A"/>
          <w:sz w:val="20"/>
          <w:szCs w:val="20"/>
          <w:shd w:val="clear" w:color="auto" w:fill="FFFFFF"/>
          <w:lang w:val="en-GB"/>
        </w:rPr>
        <w:t>Tarozzi</w:t>
      </w:r>
      <w:proofErr w:type="spellEnd"/>
      <w:r w:rsidRPr="001054CF">
        <w:rPr>
          <w:rFonts w:eastAsia="Calibri" w:cs="Calibri"/>
          <w:color w:val="00000A"/>
          <w:sz w:val="20"/>
          <w:szCs w:val="20"/>
          <w:shd w:val="clear" w:color="auto" w:fill="FFFFFF"/>
          <w:lang w:val="en-GB"/>
        </w:rPr>
        <w:t xml:space="preserve">, M. and Torres, C.A. (2016) </w:t>
      </w:r>
      <w:r w:rsidRPr="001054CF">
        <w:rPr>
          <w:rFonts w:eastAsia="Calibri" w:cs="Calibri"/>
          <w:i/>
          <w:color w:val="00000A"/>
          <w:sz w:val="20"/>
          <w:szCs w:val="20"/>
          <w:shd w:val="clear" w:color="auto" w:fill="FFFFFF"/>
          <w:lang w:val="en-GB"/>
        </w:rPr>
        <w:t>Global citizenship education. After the crises of multiculturalism</w:t>
      </w:r>
      <w:r w:rsidR="00844991" w:rsidRPr="001054CF">
        <w:rPr>
          <w:rFonts w:eastAsia="Calibri" w:cs="Calibri"/>
          <w:color w:val="00000A"/>
          <w:sz w:val="20"/>
          <w:szCs w:val="20"/>
          <w:shd w:val="clear" w:color="auto" w:fill="FFFFFF"/>
          <w:lang w:val="en-GB"/>
        </w:rPr>
        <w:t>. London: Bloomsbury.</w:t>
      </w:r>
      <w:bookmarkStart w:id="0" w:name="_GoBack"/>
      <w:bookmarkEnd w:id="0"/>
    </w:p>
    <w:p w:rsidR="008F1647" w:rsidRPr="001054CF" w:rsidRDefault="008F1647" w:rsidP="001054CF">
      <w:pPr>
        <w:spacing w:after="120" w:line="276" w:lineRule="auto"/>
        <w:ind w:left="720" w:hanging="720"/>
        <w:jc w:val="both"/>
        <w:rPr>
          <w:sz w:val="20"/>
          <w:szCs w:val="20"/>
          <w:lang w:val="en-GB"/>
        </w:rPr>
      </w:pPr>
    </w:p>
    <w:p w:rsidR="008F1647" w:rsidRPr="001054CF" w:rsidRDefault="008F1647" w:rsidP="001054CF">
      <w:pPr>
        <w:spacing w:before="100" w:after="100" w:line="276" w:lineRule="auto"/>
        <w:jc w:val="both"/>
        <w:rPr>
          <w:sz w:val="20"/>
          <w:szCs w:val="20"/>
          <w:lang w:val="en-GB"/>
        </w:rPr>
      </w:pPr>
    </w:p>
    <w:p w:rsidR="008F1647" w:rsidRPr="001054CF" w:rsidRDefault="008F1647" w:rsidP="001054CF">
      <w:pPr>
        <w:spacing w:line="360" w:lineRule="auto"/>
        <w:jc w:val="both"/>
        <w:rPr>
          <w:sz w:val="20"/>
          <w:szCs w:val="20"/>
          <w:lang w:val="en-US"/>
        </w:rPr>
      </w:pPr>
    </w:p>
    <w:p w:rsidR="008F1647" w:rsidRPr="001054CF" w:rsidRDefault="008F1647" w:rsidP="001054CF">
      <w:pPr>
        <w:spacing w:line="360" w:lineRule="auto"/>
        <w:jc w:val="both"/>
        <w:rPr>
          <w:sz w:val="20"/>
          <w:szCs w:val="20"/>
        </w:rPr>
      </w:pPr>
    </w:p>
    <w:sectPr w:rsidR="008F1647" w:rsidRPr="001054CF" w:rsidSect="00F6295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9B1" w:rsidRDefault="003F09B1" w:rsidP="00210C12">
      <w:r>
        <w:separator/>
      </w:r>
    </w:p>
  </w:endnote>
  <w:endnote w:type="continuationSeparator" w:id="1">
    <w:p w:rsidR="003F09B1" w:rsidRDefault="003F09B1" w:rsidP="00210C1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Mincho"/>
    <w:charset w:val="4E"/>
    <w:family w:val="auto"/>
    <w:pitch w:val="variable"/>
    <w:sig w:usb0="00000000"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ˇøWºﬁ">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9B1" w:rsidRDefault="003F09B1" w:rsidP="00210C12">
      <w:r>
        <w:separator/>
      </w:r>
    </w:p>
  </w:footnote>
  <w:footnote w:type="continuationSeparator" w:id="1">
    <w:p w:rsidR="003F09B1" w:rsidRDefault="003F09B1" w:rsidP="00210C12">
      <w:r>
        <w:continuationSeparator/>
      </w:r>
    </w:p>
  </w:footnote>
  <w:footnote w:id="2">
    <w:p w:rsidR="003F09B1" w:rsidRPr="001054CF" w:rsidRDefault="003F09B1" w:rsidP="00EA4C02">
      <w:pPr>
        <w:pStyle w:val="Testonotaapidipagina"/>
        <w:rPr>
          <w:sz w:val="16"/>
          <w:shd w:val="clear" w:color="auto" w:fill="FFFFFF"/>
          <w:lang w:val="en-GB"/>
        </w:rPr>
      </w:pPr>
      <w:r w:rsidRPr="001054CF">
        <w:rPr>
          <w:rStyle w:val="Rimandonotaapidipagina"/>
          <w:sz w:val="18"/>
        </w:rPr>
        <w:footnoteRef/>
      </w:r>
      <w:r w:rsidRPr="001054CF">
        <w:rPr>
          <w:sz w:val="16"/>
          <w:shd w:val="clear" w:color="auto" w:fill="FFFFFF"/>
          <w:lang w:val="en-GB"/>
        </w:rPr>
        <w:t xml:space="preserve">Research has been conducted within the DEAR co-financed project “Global Schools” in the framework of the research activity called: “Global Citizenship Education educational policies in 10 EU countries”, by a group of 10 national researchers coordinated by </w:t>
      </w:r>
      <w:proofErr w:type="spellStart"/>
      <w:r w:rsidRPr="001054CF">
        <w:rPr>
          <w:sz w:val="16"/>
          <w:shd w:val="clear" w:color="auto" w:fill="FFFFFF"/>
          <w:lang w:val="en-GB"/>
        </w:rPr>
        <w:t>Massimiliano</w:t>
      </w:r>
      <w:proofErr w:type="spellEnd"/>
      <w:r w:rsidRPr="001054CF">
        <w:rPr>
          <w:sz w:val="16"/>
          <w:shd w:val="clear" w:color="auto" w:fill="FFFFFF"/>
          <w:lang w:val="en-GB"/>
        </w:rPr>
        <w:t xml:space="preserve"> </w:t>
      </w:r>
      <w:proofErr w:type="spellStart"/>
      <w:r w:rsidRPr="001054CF">
        <w:rPr>
          <w:sz w:val="16"/>
          <w:shd w:val="clear" w:color="auto" w:fill="FFFFFF"/>
          <w:lang w:val="en-GB"/>
        </w:rPr>
        <w:t>Tarozzi</w:t>
      </w:r>
      <w:proofErr w:type="spellEnd"/>
      <w:r w:rsidRPr="001054CF">
        <w:rPr>
          <w:sz w:val="16"/>
          <w:shd w:val="clear" w:color="auto" w:fill="FFFFFF"/>
          <w:lang w:val="en-GB"/>
        </w:rPr>
        <w:t xml:space="preserve"> (University of Bologna), with the support of Carla </w:t>
      </w:r>
      <w:proofErr w:type="spellStart"/>
      <w:r w:rsidRPr="001054CF">
        <w:rPr>
          <w:sz w:val="16"/>
          <w:shd w:val="clear" w:color="auto" w:fill="FFFFFF"/>
          <w:lang w:val="en-GB"/>
        </w:rPr>
        <w:t>Inguaggiato</w:t>
      </w:r>
      <w:proofErr w:type="spellEnd"/>
      <w:r w:rsidRPr="001054CF">
        <w:rPr>
          <w:sz w:val="16"/>
          <w:shd w:val="clear" w:color="auto" w:fill="FFFFFF"/>
          <w:lang w:val="en-GB"/>
        </w:rPr>
        <w:t xml:space="preserve"> for the Training Centre for International Cooperation. </w:t>
      </w:r>
    </w:p>
    <w:p w:rsidR="003F09B1" w:rsidRPr="001054CF" w:rsidRDefault="003F09B1">
      <w:pPr>
        <w:pStyle w:val="Testonotaapidipagina"/>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06EB"/>
    <w:multiLevelType w:val="hybridMultilevel"/>
    <w:tmpl w:val="4E604288"/>
    <w:lvl w:ilvl="0" w:tplc="B476B6CA">
      <w:start w:val="1"/>
      <w:numFmt w:val="bullet"/>
      <w:lvlText w:val=""/>
      <w:lvlJc w:val="left"/>
      <w:pPr>
        <w:tabs>
          <w:tab w:val="num" w:pos="720"/>
        </w:tabs>
        <w:ind w:left="720" w:hanging="360"/>
      </w:pPr>
      <w:rPr>
        <w:rFonts w:ascii="Wingdings 2" w:hAnsi="Wingdings 2" w:hint="default"/>
      </w:rPr>
    </w:lvl>
    <w:lvl w:ilvl="1" w:tplc="FC62070E" w:tentative="1">
      <w:start w:val="1"/>
      <w:numFmt w:val="bullet"/>
      <w:lvlText w:val=""/>
      <w:lvlJc w:val="left"/>
      <w:pPr>
        <w:tabs>
          <w:tab w:val="num" w:pos="1440"/>
        </w:tabs>
        <w:ind w:left="1440" w:hanging="360"/>
      </w:pPr>
      <w:rPr>
        <w:rFonts w:ascii="Wingdings 2" w:hAnsi="Wingdings 2" w:hint="default"/>
      </w:rPr>
    </w:lvl>
    <w:lvl w:ilvl="2" w:tplc="1D92E2E4">
      <w:start w:val="1"/>
      <w:numFmt w:val="bullet"/>
      <w:lvlText w:val=""/>
      <w:lvlJc w:val="left"/>
      <w:pPr>
        <w:tabs>
          <w:tab w:val="num" w:pos="2160"/>
        </w:tabs>
        <w:ind w:left="2160" w:hanging="360"/>
      </w:pPr>
      <w:rPr>
        <w:rFonts w:ascii="Wingdings 2" w:hAnsi="Wingdings 2" w:hint="default"/>
      </w:rPr>
    </w:lvl>
    <w:lvl w:ilvl="3" w:tplc="C018F0DA" w:tentative="1">
      <w:start w:val="1"/>
      <w:numFmt w:val="bullet"/>
      <w:lvlText w:val=""/>
      <w:lvlJc w:val="left"/>
      <w:pPr>
        <w:tabs>
          <w:tab w:val="num" w:pos="2880"/>
        </w:tabs>
        <w:ind w:left="2880" w:hanging="360"/>
      </w:pPr>
      <w:rPr>
        <w:rFonts w:ascii="Wingdings 2" w:hAnsi="Wingdings 2" w:hint="default"/>
      </w:rPr>
    </w:lvl>
    <w:lvl w:ilvl="4" w:tplc="7E54E89A" w:tentative="1">
      <w:start w:val="1"/>
      <w:numFmt w:val="bullet"/>
      <w:lvlText w:val=""/>
      <w:lvlJc w:val="left"/>
      <w:pPr>
        <w:tabs>
          <w:tab w:val="num" w:pos="3600"/>
        </w:tabs>
        <w:ind w:left="3600" w:hanging="360"/>
      </w:pPr>
      <w:rPr>
        <w:rFonts w:ascii="Wingdings 2" w:hAnsi="Wingdings 2" w:hint="default"/>
      </w:rPr>
    </w:lvl>
    <w:lvl w:ilvl="5" w:tplc="E3967252" w:tentative="1">
      <w:start w:val="1"/>
      <w:numFmt w:val="bullet"/>
      <w:lvlText w:val=""/>
      <w:lvlJc w:val="left"/>
      <w:pPr>
        <w:tabs>
          <w:tab w:val="num" w:pos="4320"/>
        </w:tabs>
        <w:ind w:left="4320" w:hanging="360"/>
      </w:pPr>
      <w:rPr>
        <w:rFonts w:ascii="Wingdings 2" w:hAnsi="Wingdings 2" w:hint="default"/>
      </w:rPr>
    </w:lvl>
    <w:lvl w:ilvl="6" w:tplc="2AA8F2AE" w:tentative="1">
      <w:start w:val="1"/>
      <w:numFmt w:val="bullet"/>
      <w:lvlText w:val=""/>
      <w:lvlJc w:val="left"/>
      <w:pPr>
        <w:tabs>
          <w:tab w:val="num" w:pos="5040"/>
        </w:tabs>
        <w:ind w:left="5040" w:hanging="360"/>
      </w:pPr>
      <w:rPr>
        <w:rFonts w:ascii="Wingdings 2" w:hAnsi="Wingdings 2" w:hint="default"/>
      </w:rPr>
    </w:lvl>
    <w:lvl w:ilvl="7" w:tplc="C28C0DA2" w:tentative="1">
      <w:start w:val="1"/>
      <w:numFmt w:val="bullet"/>
      <w:lvlText w:val=""/>
      <w:lvlJc w:val="left"/>
      <w:pPr>
        <w:tabs>
          <w:tab w:val="num" w:pos="5760"/>
        </w:tabs>
        <w:ind w:left="5760" w:hanging="360"/>
      </w:pPr>
      <w:rPr>
        <w:rFonts w:ascii="Wingdings 2" w:hAnsi="Wingdings 2" w:hint="default"/>
      </w:rPr>
    </w:lvl>
    <w:lvl w:ilvl="8" w:tplc="48C6397C" w:tentative="1">
      <w:start w:val="1"/>
      <w:numFmt w:val="bullet"/>
      <w:lvlText w:val=""/>
      <w:lvlJc w:val="left"/>
      <w:pPr>
        <w:tabs>
          <w:tab w:val="num" w:pos="6480"/>
        </w:tabs>
        <w:ind w:left="6480" w:hanging="360"/>
      </w:pPr>
      <w:rPr>
        <w:rFonts w:ascii="Wingdings 2" w:hAnsi="Wingdings 2" w:hint="default"/>
      </w:rPr>
    </w:lvl>
  </w:abstractNum>
  <w:abstractNum w:abstractNumId="1">
    <w:nsid w:val="2DC22161"/>
    <w:multiLevelType w:val="hybridMultilevel"/>
    <w:tmpl w:val="5C2C63EA"/>
    <w:lvl w:ilvl="0" w:tplc="85EE6C80">
      <w:start w:val="1"/>
      <w:numFmt w:val="bullet"/>
      <w:lvlText w:val=""/>
      <w:lvlJc w:val="left"/>
      <w:pPr>
        <w:tabs>
          <w:tab w:val="num" w:pos="720"/>
        </w:tabs>
        <w:ind w:left="720" w:hanging="360"/>
      </w:pPr>
      <w:rPr>
        <w:rFonts w:ascii="Wingdings 2" w:hAnsi="Wingdings 2" w:hint="default"/>
      </w:rPr>
    </w:lvl>
    <w:lvl w:ilvl="1" w:tplc="CDA25154" w:tentative="1">
      <w:start w:val="1"/>
      <w:numFmt w:val="bullet"/>
      <w:lvlText w:val=""/>
      <w:lvlJc w:val="left"/>
      <w:pPr>
        <w:tabs>
          <w:tab w:val="num" w:pos="1440"/>
        </w:tabs>
        <w:ind w:left="1440" w:hanging="360"/>
      </w:pPr>
      <w:rPr>
        <w:rFonts w:ascii="Wingdings 2" w:hAnsi="Wingdings 2" w:hint="default"/>
      </w:rPr>
    </w:lvl>
    <w:lvl w:ilvl="2" w:tplc="89CE18AC" w:tentative="1">
      <w:start w:val="1"/>
      <w:numFmt w:val="bullet"/>
      <w:lvlText w:val=""/>
      <w:lvlJc w:val="left"/>
      <w:pPr>
        <w:tabs>
          <w:tab w:val="num" w:pos="2160"/>
        </w:tabs>
        <w:ind w:left="2160" w:hanging="360"/>
      </w:pPr>
      <w:rPr>
        <w:rFonts w:ascii="Wingdings 2" w:hAnsi="Wingdings 2" w:hint="default"/>
      </w:rPr>
    </w:lvl>
    <w:lvl w:ilvl="3" w:tplc="D7EC0158" w:tentative="1">
      <w:start w:val="1"/>
      <w:numFmt w:val="bullet"/>
      <w:lvlText w:val=""/>
      <w:lvlJc w:val="left"/>
      <w:pPr>
        <w:tabs>
          <w:tab w:val="num" w:pos="2880"/>
        </w:tabs>
        <w:ind w:left="2880" w:hanging="360"/>
      </w:pPr>
      <w:rPr>
        <w:rFonts w:ascii="Wingdings 2" w:hAnsi="Wingdings 2" w:hint="default"/>
      </w:rPr>
    </w:lvl>
    <w:lvl w:ilvl="4" w:tplc="F924A2B8" w:tentative="1">
      <w:start w:val="1"/>
      <w:numFmt w:val="bullet"/>
      <w:lvlText w:val=""/>
      <w:lvlJc w:val="left"/>
      <w:pPr>
        <w:tabs>
          <w:tab w:val="num" w:pos="3600"/>
        </w:tabs>
        <w:ind w:left="3600" w:hanging="360"/>
      </w:pPr>
      <w:rPr>
        <w:rFonts w:ascii="Wingdings 2" w:hAnsi="Wingdings 2" w:hint="default"/>
      </w:rPr>
    </w:lvl>
    <w:lvl w:ilvl="5" w:tplc="EC088FFE" w:tentative="1">
      <w:start w:val="1"/>
      <w:numFmt w:val="bullet"/>
      <w:lvlText w:val=""/>
      <w:lvlJc w:val="left"/>
      <w:pPr>
        <w:tabs>
          <w:tab w:val="num" w:pos="4320"/>
        </w:tabs>
        <w:ind w:left="4320" w:hanging="360"/>
      </w:pPr>
      <w:rPr>
        <w:rFonts w:ascii="Wingdings 2" w:hAnsi="Wingdings 2" w:hint="default"/>
      </w:rPr>
    </w:lvl>
    <w:lvl w:ilvl="6" w:tplc="9ACC0830" w:tentative="1">
      <w:start w:val="1"/>
      <w:numFmt w:val="bullet"/>
      <w:lvlText w:val=""/>
      <w:lvlJc w:val="left"/>
      <w:pPr>
        <w:tabs>
          <w:tab w:val="num" w:pos="5040"/>
        </w:tabs>
        <w:ind w:left="5040" w:hanging="360"/>
      </w:pPr>
      <w:rPr>
        <w:rFonts w:ascii="Wingdings 2" w:hAnsi="Wingdings 2" w:hint="default"/>
      </w:rPr>
    </w:lvl>
    <w:lvl w:ilvl="7" w:tplc="5EA8E824" w:tentative="1">
      <w:start w:val="1"/>
      <w:numFmt w:val="bullet"/>
      <w:lvlText w:val=""/>
      <w:lvlJc w:val="left"/>
      <w:pPr>
        <w:tabs>
          <w:tab w:val="num" w:pos="5760"/>
        </w:tabs>
        <w:ind w:left="5760" w:hanging="360"/>
      </w:pPr>
      <w:rPr>
        <w:rFonts w:ascii="Wingdings 2" w:hAnsi="Wingdings 2" w:hint="default"/>
      </w:rPr>
    </w:lvl>
    <w:lvl w:ilvl="8" w:tplc="2A1CFBD4" w:tentative="1">
      <w:start w:val="1"/>
      <w:numFmt w:val="bullet"/>
      <w:lvlText w:val=""/>
      <w:lvlJc w:val="left"/>
      <w:pPr>
        <w:tabs>
          <w:tab w:val="num" w:pos="6480"/>
        </w:tabs>
        <w:ind w:left="6480" w:hanging="360"/>
      </w:pPr>
      <w:rPr>
        <w:rFonts w:ascii="Wingdings 2" w:hAnsi="Wingdings 2" w:hint="default"/>
      </w:rPr>
    </w:lvl>
  </w:abstractNum>
  <w:abstractNum w:abstractNumId="2">
    <w:nsid w:val="537F7704"/>
    <w:multiLevelType w:val="hybridMultilevel"/>
    <w:tmpl w:val="E12CF084"/>
    <w:lvl w:ilvl="0" w:tplc="A96E7D66">
      <w:start w:val="1"/>
      <w:numFmt w:val="bullet"/>
      <w:lvlText w:val=""/>
      <w:lvlJc w:val="left"/>
      <w:pPr>
        <w:tabs>
          <w:tab w:val="num" w:pos="720"/>
        </w:tabs>
        <w:ind w:left="720" w:hanging="360"/>
      </w:pPr>
      <w:rPr>
        <w:rFonts w:ascii="Wingdings 2" w:hAnsi="Wingdings 2" w:hint="default"/>
      </w:rPr>
    </w:lvl>
    <w:lvl w:ilvl="1" w:tplc="3372EDDC">
      <w:start w:val="1"/>
      <w:numFmt w:val="bullet"/>
      <w:lvlText w:val=""/>
      <w:lvlJc w:val="left"/>
      <w:pPr>
        <w:tabs>
          <w:tab w:val="num" w:pos="1440"/>
        </w:tabs>
        <w:ind w:left="1440" w:hanging="360"/>
      </w:pPr>
      <w:rPr>
        <w:rFonts w:ascii="Wingdings 2" w:hAnsi="Wingdings 2" w:hint="default"/>
      </w:rPr>
    </w:lvl>
    <w:lvl w:ilvl="2" w:tplc="B6B4A32C" w:tentative="1">
      <w:start w:val="1"/>
      <w:numFmt w:val="bullet"/>
      <w:lvlText w:val=""/>
      <w:lvlJc w:val="left"/>
      <w:pPr>
        <w:tabs>
          <w:tab w:val="num" w:pos="2160"/>
        </w:tabs>
        <w:ind w:left="2160" w:hanging="360"/>
      </w:pPr>
      <w:rPr>
        <w:rFonts w:ascii="Wingdings 2" w:hAnsi="Wingdings 2" w:hint="default"/>
      </w:rPr>
    </w:lvl>
    <w:lvl w:ilvl="3" w:tplc="61C08874" w:tentative="1">
      <w:start w:val="1"/>
      <w:numFmt w:val="bullet"/>
      <w:lvlText w:val=""/>
      <w:lvlJc w:val="left"/>
      <w:pPr>
        <w:tabs>
          <w:tab w:val="num" w:pos="2880"/>
        </w:tabs>
        <w:ind w:left="2880" w:hanging="360"/>
      </w:pPr>
      <w:rPr>
        <w:rFonts w:ascii="Wingdings 2" w:hAnsi="Wingdings 2" w:hint="default"/>
      </w:rPr>
    </w:lvl>
    <w:lvl w:ilvl="4" w:tplc="46908DEC" w:tentative="1">
      <w:start w:val="1"/>
      <w:numFmt w:val="bullet"/>
      <w:lvlText w:val=""/>
      <w:lvlJc w:val="left"/>
      <w:pPr>
        <w:tabs>
          <w:tab w:val="num" w:pos="3600"/>
        </w:tabs>
        <w:ind w:left="3600" w:hanging="360"/>
      </w:pPr>
      <w:rPr>
        <w:rFonts w:ascii="Wingdings 2" w:hAnsi="Wingdings 2" w:hint="default"/>
      </w:rPr>
    </w:lvl>
    <w:lvl w:ilvl="5" w:tplc="1062BB6C" w:tentative="1">
      <w:start w:val="1"/>
      <w:numFmt w:val="bullet"/>
      <w:lvlText w:val=""/>
      <w:lvlJc w:val="left"/>
      <w:pPr>
        <w:tabs>
          <w:tab w:val="num" w:pos="4320"/>
        </w:tabs>
        <w:ind w:left="4320" w:hanging="360"/>
      </w:pPr>
      <w:rPr>
        <w:rFonts w:ascii="Wingdings 2" w:hAnsi="Wingdings 2" w:hint="default"/>
      </w:rPr>
    </w:lvl>
    <w:lvl w:ilvl="6" w:tplc="ACD60C38" w:tentative="1">
      <w:start w:val="1"/>
      <w:numFmt w:val="bullet"/>
      <w:lvlText w:val=""/>
      <w:lvlJc w:val="left"/>
      <w:pPr>
        <w:tabs>
          <w:tab w:val="num" w:pos="5040"/>
        </w:tabs>
        <w:ind w:left="5040" w:hanging="360"/>
      </w:pPr>
      <w:rPr>
        <w:rFonts w:ascii="Wingdings 2" w:hAnsi="Wingdings 2" w:hint="default"/>
      </w:rPr>
    </w:lvl>
    <w:lvl w:ilvl="7" w:tplc="0C4AF5C2" w:tentative="1">
      <w:start w:val="1"/>
      <w:numFmt w:val="bullet"/>
      <w:lvlText w:val=""/>
      <w:lvlJc w:val="left"/>
      <w:pPr>
        <w:tabs>
          <w:tab w:val="num" w:pos="5760"/>
        </w:tabs>
        <w:ind w:left="5760" w:hanging="360"/>
      </w:pPr>
      <w:rPr>
        <w:rFonts w:ascii="Wingdings 2" w:hAnsi="Wingdings 2" w:hint="default"/>
      </w:rPr>
    </w:lvl>
    <w:lvl w:ilvl="8" w:tplc="A018668A"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0"/>
    <w:footnote w:id="1"/>
  </w:footnotePr>
  <w:endnotePr>
    <w:endnote w:id="0"/>
    <w:endnote w:id="1"/>
  </w:endnotePr>
  <w:compat>
    <w:useFELayout/>
  </w:compat>
  <w:rsids>
    <w:rsidRoot w:val="006C6F3A"/>
    <w:rsid w:val="00013B3D"/>
    <w:rsid w:val="00016D75"/>
    <w:rsid w:val="00050601"/>
    <w:rsid w:val="001054CF"/>
    <w:rsid w:val="00156AD7"/>
    <w:rsid w:val="0019561E"/>
    <w:rsid w:val="001B1FC0"/>
    <w:rsid w:val="00210C12"/>
    <w:rsid w:val="00235DE7"/>
    <w:rsid w:val="002C6A09"/>
    <w:rsid w:val="00383278"/>
    <w:rsid w:val="003F09B1"/>
    <w:rsid w:val="00591675"/>
    <w:rsid w:val="00643381"/>
    <w:rsid w:val="006C6F3A"/>
    <w:rsid w:val="007415AE"/>
    <w:rsid w:val="00844991"/>
    <w:rsid w:val="00890CF5"/>
    <w:rsid w:val="008F1647"/>
    <w:rsid w:val="008F4BD7"/>
    <w:rsid w:val="009D73D2"/>
    <w:rsid w:val="00A506A0"/>
    <w:rsid w:val="00A90158"/>
    <w:rsid w:val="00BC4965"/>
    <w:rsid w:val="00D121A2"/>
    <w:rsid w:val="00E071DF"/>
    <w:rsid w:val="00E163D2"/>
    <w:rsid w:val="00EA4C02"/>
    <w:rsid w:val="00F62950"/>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1FC0"/>
  </w:style>
  <w:style w:type="paragraph" w:styleId="Titolo1">
    <w:name w:val="heading 1"/>
    <w:basedOn w:val="Normale"/>
    <w:next w:val="Normale"/>
    <w:link w:val="Titolo1Carattere"/>
    <w:uiPriority w:val="9"/>
    <w:qFormat/>
    <w:rsid w:val="009D73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8F16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4965"/>
    <w:pPr>
      <w:ind w:left="720"/>
      <w:contextualSpacing/>
    </w:pPr>
    <w:rPr>
      <w:rFonts w:ascii="Times" w:hAnsi="Times"/>
      <w:sz w:val="20"/>
      <w:szCs w:val="20"/>
    </w:rPr>
  </w:style>
  <w:style w:type="character" w:customStyle="1" w:styleId="Titolo1Carattere">
    <w:name w:val="Titolo 1 Carattere"/>
    <w:basedOn w:val="Carpredefinitoparagrafo"/>
    <w:link w:val="Titolo1"/>
    <w:uiPriority w:val="9"/>
    <w:rsid w:val="009D73D2"/>
    <w:rPr>
      <w:rFonts w:asciiTheme="majorHAnsi" w:eastAsiaTheme="majorEastAsia" w:hAnsiTheme="majorHAnsi" w:cstheme="majorBidi"/>
      <w:b/>
      <w:bCs/>
      <w:color w:val="345A8A" w:themeColor="accent1" w:themeShade="B5"/>
      <w:sz w:val="32"/>
      <w:szCs w:val="32"/>
    </w:rPr>
  </w:style>
  <w:style w:type="paragraph" w:styleId="Testonotaapidipagina">
    <w:name w:val="footnote text"/>
    <w:basedOn w:val="Normale"/>
    <w:link w:val="TestonotaapidipaginaCarattere"/>
    <w:uiPriority w:val="99"/>
    <w:unhideWhenUsed/>
    <w:rsid w:val="00210C12"/>
  </w:style>
  <w:style w:type="character" w:customStyle="1" w:styleId="TestonotaapidipaginaCarattere">
    <w:name w:val="Testo nota a piè di pagina Carattere"/>
    <w:basedOn w:val="Carpredefinitoparagrafo"/>
    <w:link w:val="Testonotaapidipagina"/>
    <w:uiPriority w:val="99"/>
    <w:rsid w:val="00210C12"/>
  </w:style>
  <w:style w:type="character" w:styleId="Rimandonotaapidipagina">
    <w:name w:val="footnote reference"/>
    <w:basedOn w:val="Carpredefinitoparagrafo"/>
    <w:uiPriority w:val="99"/>
    <w:unhideWhenUsed/>
    <w:rsid w:val="00210C12"/>
    <w:rPr>
      <w:vertAlign w:val="superscript"/>
    </w:rPr>
  </w:style>
  <w:style w:type="character" w:styleId="Collegamentoipertestuale">
    <w:name w:val="Hyperlink"/>
    <w:basedOn w:val="Carpredefinitoparagrafo"/>
    <w:uiPriority w:val="99"/>
    <w:unhideWhenUsed/>
    <w:rsid w:val="008F1647"/>
    <w:rPr>
      <w:color w:val="0000FF" w:themeColor="hyperlink"/>
      <w:u w:val="single"/>
    </w:rPr>
  </w:style>
  <w:style w:type="character" w:customStyle="1" w:styleId="Titolo2Carattere">
    <w:name w:val="Titolo 2 Carattere"/>
    <w:basedOn w:val="Carpredefinitoparagrafo"/>
    <w:link w:val="Titolo2"/>
    <w:uiPriority w:val="9"/>
    <w:rsid w:val="008F164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D73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8F16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4965"/>
    <w:pPr>
      <w:ind w:left="720"/>
      <w:contextualSpacing/>
    </w:pPr>
    <w:rPr>
      <w:rFonts w:ascii="Times" w:hAnsi="Times"/>
      <w:sz w:val="20"/>
      <w:szCs w:val="20"/>
    </w:rPr>
  </w:style>
  <w:style w:type="character" w:customStyle="1" w:styleId="Titolo1Carattere">
    <w:name w:val="Titolo 1 Carattere"/>
    <w:basedOn w:val="Caratterepredefinitoparagrafo"/>
    <w:link w:val="Titolo1"/>
    <w:uiPriority w:val="9"/>
    <w:rsid w:val="009D73D2"/>
    <w:rPr>
      <w:rFonts w:asciiTheme="majorHAnsi" w:eastAsiaTheme="majorEastAsia" w:hAnsiTheme="majorHAnsi" w:cstheme="majorBidi"/>
      <w:b/>
      <w:bCs/>
      <w:color w:val="345A8A" w:themeColor="accent1" w:themeShade="B5"/>
      <w:sz w:val="32"/>
      <w:szCs w:val="32"/>
    </w:rPr>
  </w:style>
  <w:style w:type="paragraph" w:styleId="Testonotaapidipagina">
    <w:name w:val="footnote text"/>
    <w:basedOn w:val="Normale"/>
    <w:link w:val="TestonotaapidipaginaCarattere"/>
    <w:uiPriority w:val="99"/>
    <w:unhideWhenUsed/>
    <w:rsid w:val="00210C12"/>
  </w:style>
  <w:style w:type="character" w:customStyle="1" w:styleId="TestonotaapidipaginaCarattere">
    <w:name w:val="Testo nota a piè di pagina Carattere"/>
    <w:basedOn w:val="Caratterepredefinitoparagrafo"/>
    <w:link w:val="Testonotaapidipagina"/>
    <w:uiPriority w:val="99"/>
    <w:rsid w:val="00210C12"/>
  </w:style>
  <w:style w:type="character" w:styleId="Rimandonotaapidipagina">
    <w:name w:val="footnote reference"/>
    <w:basedOn w:val="Caratterepredefinitoparagrafo"/>
    <w:uiPriority w:val="99"/>
    <w:unhideWhenUsed/>
    <w:rsid w:val="00210C12"/>
    <w:rPr>
      <w:vertAlign w:val="superscript"/>
    </w:rPr>
  </w:style>
  <w:style w:type="character" w:styleId="Collegamentoipertestuale">
    <w:name w:val="Hyperlink"/>
    <w:basedOn w:val="Caratterepredefinitoparagrafo"/>
    <w:uiPriority w:val="99"/>
    <w:unhideWhenUsed/>
    <w:rsid w:val="008F1647"/>
    <w:rPr>
      <w:color w:val="0000FF" w:themeColor="hyperlink"/>
      <w:u w:val="single"/>
    </w:rPr>
  </w:style>
  <w:style w:type="character" w:customStyle="1" w:styleId="Titolo2Carattere">
    <w:name w:val="Titolo 2 Carattere"/>
    <w:basedOn w:val="Caratterepredefinitoparagrafo"/>
    <w:link w:val="Titolo2"/>
    <w:uiPriority w:val="9"/>
    <w:rsid w:val="008F164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70200642">
      <w:bodyDiv w:val="1"/>
      <w:marLeft w:val="0"/>
      <w:marRight w:val="0"/>
      <w:marTop w:val="0"/>
      <w:marBottom w:val="0"/>
      <w:divBdr>
        <w:top w:val="none" w:sz="0" w:space="0" w:color="auto"/>
        <w:left w:val="none" w:sz="0" w:space="0" w:color="auto"/>
        <w:bottom w:val="none" w:sz="0" w:space="0" w:color="auto"/>
        <w:right w:val="none" w:sz="0" w:space="0" w:color="auto"/>
      </w:divBdr>
      <w:divsChild>
        <w:div w:id="1176505850">
          <w:marLeft w:val="1080"/>
          <w:marRight w:val="0"/>
          <w:marTop w:val="120"/>
          <w:marBottom w:val="0"/>
          <w:divBdr>
            <w:top w:val="none" w:sz="0" w:space="0" w:color="auto"/>
            <w:left w:val="none" w:sz="0" w:space="0" w:color="auto"/>
            <w:bottom w:val="none" w:sz="0" w:space="0" w:color="auto"/>
            <w:right w:val="none" w:sz="0" w:space="0" w:color="auto"/>
          </w:divBdr>
        </w:div>
      </w:divsChild>
    </w:div>
    <w:div w:id="848980199">
      <w:bodyDiv w:val="1"/>
      <w:marLeft w:val="0"/>
      <w:marRight w:val="0"/>
      <w:marTop w:val="0"/>
      <w:marBottom w:val="0"/>
      <w:divBdr>
        <w:top w:val="none" w:sz="0" w:space="0" w:color="auto"/>
        <w:left w:val="none" w:sz="0" w:space="0" w:color="auto"/>
        <w:bottom w:val="none" w:sz="0" w:space="0" w:color="auto"/>
        <w:right w:val="none" w:sz="0" w:space="0" w:color="auto"/>
      </w:divBdr>
      <w:divsChild>
        <w:div w:id="837038695">
          <w:marLeft w:val="547"/>
          <w:marRight w:val="0"/>
          <w:marTop w:val="400"/>
          <w:marBottom w:val="0"/>
          <w:divBdr>
            <w:top w:val="none" w:sz="0" w:space="0" w:color="auto"/>
            <w:left w:val="none" w:sz="0" w:space="0" w:color="auto"/>
            <w:bottom w:val="none" w:sz="0" w:space="0" w:color="auto"/>
            <w:right w:val="none" w:sz="0" w:space="0" w:color="auto"/>
          </w:divBdr>
        </w:div>
      </w:divsChild>
    </w:div>
    <w:div w:id="992366448">
      <w:bodyDiv w:val="1"/>
      <w:marLeft w:val="0"/>
      <w:marRight w:val="0"/>
      <w:marTop w:val="0"/>
      <w:marBottom w:val="0"/>
      <w:divBdr>
        <w:top w:val="none" w:sz="0" w:space="0" w:color="auto"/>
        <w:left w:val="none" w:sz="0" w:space="0" w:color="auto"/>
        <w:bottom w:val="none" w:sz="0" w:space="0" w:color="auto"/>
        <w:right w:val="none" w:sz="0" w:space="0" w:color="auto"/>
      </w:divBdr>
      <w:divsChild>
        <w:div w:id="469057236">
          <w:marLeft w:val="1627"/>
          <w:marRight w:val="0"/>
          <w:marTop w:val="120"/>
          <w:marBottom w:val="0"/>
          <w:divBdr>
            <w:top w:val="none" w:sz="0" w:space="0" w:color="auto"/>
            <w:left w:val="none" w:sz="0" w:space="0" w:color="auto"/>
            <w:bottom w:val="none" w:sz="0" w:space="0" w:color="auto"/>
            <w:right w:val="none" w:sz="0" w:space="0" w:color="auto"/>
          </w:divBdr>
        </w:div>
        <w:div w:id="1789930263">
          <w:marLeft w:val="1627"/>
          <w:marRight w:val="0"/>
          <w:marTop w:val="120"/>
          <w:marBottom w:val="0"/>
          <w:divBdr>
            <w:top w:val="none" w:sz="0" w:space="0" w:color="auto"/>
            <w:left w:val="none" w:sz="0" w:space="0" w:color="auto"/>
            <w:bottom w:val="none" w:sz="0" w:space="0" w:color="auto"/>
            <w:right w:val="none" w:sz="0" w:space="0" w:color="auto"/>
          </w:divBdr>
        </w:div>
        <w:div w:id="1065226119">
          <w:marLeft w:val="162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4</DocSecurity>
  <Lines>37</Lines>
  <Paragraphs>10</Paragraphs>
  <ScaleCrop>false</ScaleCrop>
  <Company>Università di Bologna</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Tarozzi</dc:creator>
  <cp:lastModifiedBy>Admin</cp:lastModifiedBy>
  <cp:revision>2</cp:revision>
  <dcterms:created xsi:type="dcterms:W3CDTF">2016-08-24T08:19:00Z</dcterms:created>
  <dcterms:modified xsi:type="dcterms:W3CDTF">2016-08-24T08:19:00Z</dcterms:modified>
</cp:coreProperties>
</file>